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附注：</w:t>
      </w:r>
    </w:p>
    <w:p>
      <w:pPr>
        <w:pStyle w:val="2"/>
        <w:rPr>
          <w:szCs w:val="32"/>
        </w:rPr>
      </w:pPr>
    </w:p>
    <w:p>
      <w:pPr>
        <w:spacing w:line="600" w:lineRule="exact"/>
        <w:jc w:val="center"/>
        <w:rPr>
          <w:rFonts w:ascii="仿宋_GB2312" w:hAnsi="仿宋_GB2312" w:eastAsia="仿宋_GB2312" w:cs="仿宋_GB2312"/>
          <w:sz w:val="32"/>
          <w:szCs w:val="32"/>
        </w:rPr>
      </w:pPr>
      <w:bookmarkStart w:id="0" w:name="_GoBack"/>
      <w:r>
        <w:rPr>
          <w:rFonts w:hint="eastAsia" w:ascii="仿宋_GB2312" w:hAnsi="仿宋_GB2312" w:eastAsia="仿宋_GB2312" w:cs="仿宋_GB2312"/>
          <w:sz w:val="32"/>
          <w:szCs w:val="32"/>
        </w:rPr>
        <w:t>长三角区域发展指数指标体系和测算方法</w:t>
      </w:r>
    </w:p>
    <w:bookmarkEnd w:id="0"/>
    <w:p>
      <w:pPr>
        <w:pStyle w:val="7"/>
        <w:spacing w:after="0" w:line="600" w:lineRule="exact"/>
        <w:ind w:left="0" w:leftChars="0" w:firstLine="640" w:firstLineChars="200"/>
        <w:rPr>
          <w:rFonts w:ascii="仿宋_GB2312" w:hAnsi="仿宋_GB2312" w:eastAsia="仿宋_GB2312" w:cs="仿宋_GB2312"/>
          <w:sz w:val="32"/>
          <w:szCs w:val="32"/>
        </w:rPr>
      </w:pPr>
    </w:p>
    <w:p>
      <w:pPr>
        <w:spacing w:line="600" w:lineRule="exact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一、指标体系</w:t>
      </w:r>
    </w:p>
    <w:p>
      <w:pPr>
        <w:spacing w:line="600" w:lineRule="exact"/>
        <w:ind w:firstLine="640" w:firstLineChars="200"/>
        <w:rPr>
          <w:rFonts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长三角区域发展指数共设置6项一级指标、20项二级指标和49项三级指标。其中，依据《长江三角洲区域一体化发展规划纲要》中“坚持创新共建、协调共进、绿色共保、开放共赢、民生共享的基本原则”设置了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创新共建</w:t>
      </w:r>
      <w:r>
        <w:rPr>
          <w:rFonts w:hint="eastAsia" w:ascii="仿宋_GB2312" w:hAnsi="仿宋_GB2312" w:eastAsia="仿宋_GB2312" w:cs="仿宋_GB2312"/>
          <w:sz w:val="32"/>
          <w:szCs w:val="32"/>
        </w:rPr>
        <w:t>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协调共进</w:t>
      </w:r>
      <w:r>
        <w:rPr>
          <w:rFonts w:hint="eastAsia" w:ascii="仿宋_GB2312" w:hAnsi="仿宋_GB2312" w:eastAsia="仿宋_GB2312" w:cs="仿宋_GB2312"/>
          <w:sz w:val="32"/>
          <w:szCs w:val="32"/>
        </w:rPr>
        <w:t>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绿色共保</w:t>
      </w:r>
      <w:r>
        <w:rPr>
          <w:rFonts w:hint="eastAsia" w:ascii="仿宋_GB2312" w:hAnsi="仿宋_GB2312" w:eastAsia="仿宋_GB2312" w:cs="仿宋_GB2312"/>
          <w:sz w:val="32"/>
          <w:szCs w:val="32"/>
        </w:rPr>
        <w:t>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开放共赢</w:t>
      </w:r>
      <w:r>
        <w:rPr>
          <w:rFonts w:hint="eastAsia" w:ascii="仿宋_GB2312" w:hAnsi="仿宋_GB2312" w:eastAsia="仿宋_GB2312" w:cs="仿宋_GB2312"/>
          <w:sz w:val="32"/>
          <w:szCs w:val="32"/>
        </w:rPr>
        <w:t>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民生共享</w:t>
      </w:r>
      <w:r>
        <w:rPr>
          <w:rFonts w:hint="eastAsia" w:ascii="仿宋_GB2312" w:hAnsi="仿宋_GB2312" w:eastAsia="仿宋_GB2312" w:cs="仿宋_GB2312"/>
          <w:sz w:val="32"/>
          <w:szCs w:val="32"/>
        </w:rPr>
        <w:t>等5项一级指标；并设置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示范引领</w:t>
      </w:r>
      <w:r>
        <w:rPr>
          <w:rFonts w:hint="eastAsia" w:ascii="仿宋_GB2312" w:hAnsi="仿宋_GB2312" w:eastAsia="仿宋_GB2312" w:cs="仿宋_GB2312"/>
          <w:sz w:val="32"/>
          <w:szCs w:val="32"/>
        </w:rPr>
        <w:t>一级指标，集中纳入上述5个领域中最能体现反映长三角区域一体化高质量发展的关键性指标。</w:t>
      </w:r>
    </w:p>
    <w:p>
      <w:pPr>
        <w:jc w:val="center"/>
        <w:rPr>
          <w:rFonts w:ascii="CESI黑体-GB2312" w:hAnsi="CESI黑体-GB2312" w:eastAsia="CESI黑体-GB2312" w:cs="CESI黑体-GB2312"/>
          <w:sz w:val="28"/>
          <w:szCs w:val="28"/>
        </w:rPr>
      </w:pPr>
      <w:r>
        <w:rPr>
          <w:rFonts w:hint="eastAsia" w:ascii="CESI黑体-GB2312" w:hAnsi="CESI黑体-GB2312" w:eastAsia="CESI黑体-GB2312" w:cs="CESI黑体-GB2312"/>
          <w:sz w:val="28"/>
          <w:szCs w:val="28"/>
        </w:rPr>
        <w:t>长三角区域发展指数指标体系</w:t>
      </w:r>
    </w:p>
    <w:tbl>
      <w:tblPr>
        <w:tblStyle w:val="5"/>
        <w:tblW w:w="9243" w:type="dxa"/>
        <w:jc w:val="center"/>
        <w:tblLayout w:type="fixed"/>
        <w:tblCellMar>
          <w:top w:w="0" w:type="dxa"/>
          <w:left w:w="57" w:type="dxa"/>
          <w:bottom w:w="0" w:type="dxa"/>
          <w:right w:w="57" w:type="dxa"/>
        </w:tblCellMar>
      </w:tblPr>
      <w:tblGrid>
        <w:gridCol w:w="705"/>
        <w:gridCol w:w="904"/>
        <w:gridCol w:w="663"/>
        <w:gridCol w:w="4568"/>
        <w:gridCol w:w="1305"/>
        <w:gridCol w:w="1098"/>
      </w:tblGrid>
      <w:tr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312" w:hRule="atLeast"/>
          <w:tblHeader/>
          <w:jc w:val="center"/>
        </w:trPr>
        <w:tc>
          <w:tcPr>
            <w:tcW w:w="705" w:type="dxa"/>
            <w:vMerge w:val="restart"/>
            <w:tcBorders>
              <w:top w:val="single" w:color="000000" w:sz="4" w:space="0"/>
              <w:left w:val="nil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黑体" w:hAnsi="黑体" w:eastAsia="黑体" w:cs="黑体"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Cs w:val="21"/>
              </w:rPr>
              <w:t>一级</w:t>
            </w:r>
          </w:p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黑体" w:hAnsi="黑体" w:eastAsia="黑体" w:cs="黑体"/>
                <w:bCs/>
                <w:color w:val="000000"/>
                <w:szCs w:val="21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Cs w:val="21"/>
              </w:rPr>
              <w:t>指标</w:t>
            </w:r>
          </w:p>
        </w:tc>
        <w:tc>
          <w:tcPr>
            <w:tcW w:w="904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黑体" w:hAnsi="黑体" w:eastAsia="黑体" w:cs="黑体"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Cs w:val="21"/>
              </w:rPr>
              <w:t>二级</w:t>
            </w:r>
          </w:p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黑体" w:hAnsi="黑体" w:eastAsia="黑体" w:cs="黑体"/>
                <w:bCs/>
                <w:color w:val="000000"/>
                <w:szCs w:val="21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Cs w:val="21"/>
              </w:rPr>
              <w:t>指标</w:t>
            </w:r>
          </w:p>
        </w:tc>
        <w:tc>
          <w:tcPr>
            <w:tcW w:w="763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黑体" w:hAnsi="黑体" w:eastAsia="黑体" w:cs="黑体"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Cs w:val="21"/>
              </w:rPr>
              <w:t>三级指标</w:t>
            </w:r>
          </w:p>
        </w:tc>
      </w:tr>
      <w:tr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312" w:hRule="atLeast"/>
          <w:tblHeader/>
          <w:jc w:val="center"/>
        </w:trPr>
        <w:tc>
          <w:tcPr>
            <w:tcW w:w="705" w:type="dxa"/>
            <w:vMerge w:val="continue"/>
            <w:tcBorders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黑体" w:hAnsi="黑体" w:eastAsia="黑体" w:cs="黑体"/>
                <w:bCs/>
                <w:color w:val="000000"/>
                <w:kern w:val="0"/>
                <w:szCs w:val="21"/>
              </w:rPr>
            </w:pPr>
          </w:p>
        </w:tc>
        <w:tc>
          <w:tcPr>
            <w:tcW w:w="904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黑体" w:hAnsi="黑体" w:eastAsia="黑体" w:cs="黑体"/>
                <w:bCs/>
                <w:color w:val="000000"/>
                <w:kern w:val="0"/>
                <w:szCs w:val="21"/>
              </w:rPr>
            </w:pPr>
          </w:p>
        </w:tc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黑体" w:hAnsi="黑体" w:eastAsia="黑体" w:cs="黑体"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45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黑体" w:hAnsi="黑体" w:eastAsia="黑体" w:cs="黑体"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Cs w:val="21"/>
              </w:rPr>
              <w:t>指标名称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黑体" w:hAnsi="黑体" w:eastAsia="黑体" w:cs="黑体"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Cs w:val="21"/>
              </w:rPr>
              <w:t>计量单位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黑体" w:hAnsi="黑体" w:eastAsia="黑体" w:cs="黑体"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Cs w:val="21"/>
              </w:rPr>
              <w:t>指标权重</w:t>
            </w:r>
          </w:p>
        </w:tc>
      </w:tr>
      <w:tr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312" w:hRule="atLeast"/>
          <w:jc w:val="center"/>
        </w:trPr>
        <w:tc>
          <w:tcPr>
            <w:tcW w:w="705" w:type="dxa"/>
            <w:vMerge w:val="restar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黑体" w:hAnsi="黑体" w:eastAsia="黑体" w:cs="黑体"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Cs w:val="21"/>
              </w:rPr>
              <w:t>示范</w:t>
            </w:r>
          </w:p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黑体" w:hAnsi="黑体" w:eastAsia="黑体" w:cs="黑体"/>
                <w:bCs/>
                <w:color w:val="000000"/>
                <w:szCs w:val="21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Cs w:val="21"/>
              </w:rPr>
              <w:t>引领</w:t>
            </w:r>
          </w:p>
        </w:tc>
        <w:tc>
          <w:tcPr>
            <w:tcW w:w="90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黑体" w:hAnsi="黑体" w:eastAsia="黑体" w:cs="黑体"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Cs w:val="21"/>
              </w:rPr>
              <w:t>发展</w:t>
            </w:r>
          </w:p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黑体" w:hAnsi="黑体" w:eastAsia="黑体" w:cs="黑体"/>
                <w:bCs/>
                <w:color w:val="000000"/>
                <w:szCs w:val="21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Cs w:val="21"/>
              </w:rPr>
              <w:t>质效</w:t>
            </w:r>
          </w:p>
        </w:tc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1</w:t>
            </w:r>
          </w:p>
        </w:tc>
        <w:tc>
          <w:tcPr>
            <w:tcW w:w="45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地区生产总值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亿元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2.67%</w:t>
            </w:r>
          </w:p>
        </w:tc>
      </w:tr>
      <w:tr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312" w:hRule="atLeast"/>
          <w:jc w:val="center"/>
        </w:trPr>
        <w:tc>
          <w:tcPr>
            <w:tcW w:w="705" w:type="dxa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djustRightInd w:val="0"/>
              <w:snapToGrid w:val="0"/>
              <w:rPr>
                <w:rFonts w:ascii="黑体" w:hAnsi="黑体" w:eastAsia="黑体" w:cs="黑体"/>
                <w:bCs/>
              </w:rPr>
            </w:pPr>
          </w:p>
        </w:tc>
        <w:tc>
          <w:tcPr>
            <w:tcW w:w="90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rPr>
                <w:rFonts w:ascii="黑体" w:hAnsi="黑体" w:eastAsia="黑体" w:cs="黑体"/>
                <w:bCs/>
                <w:szCs w:val="21"/>
              </w:rPr>
            </w:pPr>
          </w:p>
        </w:tc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2</w:t>
            </w:r>
          </w:p>
        </w:tc>
        <w:tc>
          <w:tcPr>
            <w:tcW w:w="45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全员劳动生产率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万元/人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2.67%</w:t>
            </w:r>
          </w:p>
        </w:tc>
      </w:tr>
      <w:tr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312" w:hRule="atLeast"/>
          <w:jc w:val="center"/>
        </w:trPr>
        <w:tc>
          <w:tcPr>
            <w:tcW w:w="705" w:type="dxa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djustRightInd w:val="0"/>
              <w:snapToGrid w:val="0"/>
              <w:rPr>
                <w:rFonts w:ascii="黑体" w:hAnsi="黑体" w:eastAsia="黑体" w:cs="黑体"/>
                <w:bCs/>
              </w:rPr>
            </w:pPr>
          </w:p>
        </w:tc>
        <w:tc>
          <w:tcPr>
            <w:tcW w:w="90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rPr>
                <w:rFonts w:ascii="黑体" w:hAnsi="黑体" w:eastAsia="黑体" w:cs="黑体"/>
                <w:bCs/>
                <w:szCs w:val="21"/>
              </w:rPr>
            </w:pPr>
          </w:p>
        </w:tc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3</w:t>
            </w:r>
          </w:p>
        </w:tc>
        <w:tc>
          <w:tcPr>
            <w:tcW w:w="45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长三角区域财政收入占全国比重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%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2.67%</w:t>
            </w:r>
          </w:p>
        </w:tc>
      </w:tr>
      <w:tr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312" w:hRule="atLeast"/>
          <w:jc w:val="center"/>
        </w:trPr>
        <w:tc>
          <w:tcPr>
            <w:tcW w:w="705" w:type="dxa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djustRightInd w:val="0"/>
              <w:snapToGrid w:val="0"/>
              <w:rPr>
                <w:rFonts w:ascii="黑体" w:hAnsi="黑体" w:eastAsia="黑体" w:cs="黑体"/>
                <w:bCs/>
              </w:rPr>
            </w:pPr>
          </w:p>
        </w:tc>
        <w:tc>
          <w:tcPr>
            <w:tcW w:w="90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rPr>
                <w:rFonts w:ascii="黑体" w:hAnsi="黑体" w:eastAsia="黑体" w:cs="黑体"/>
                <w:bCs/>
                <w:szCs w:val="21"/>
              </w:rPr>
            </w:pPr>
          </w:p>
        </w:tc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4</w:t>
            </w:r>
          </w:p>
        </w:tc>
        <w:tc>
          <w:tcPr>
            <w:tcW w:w="45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居民人均可支配收入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元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2.67%</w:t>
            </w:r>
          </w:p>
        </w:tc>
      </w:tr>
      <w:tr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312" w:hRule="atLeast"/>
          <w:jc w:val="center"/>
        </w:trPr>
        <w:tc>
          <w:tcPr>
            <w:tcW w:w="705" w:type="dxa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djustRightInd w:val="0"/>
              <w:snapToGrid w:val="0"/>
              <w:rPr>
                <w:rFonts w:ascii="黑体" w:hAnsi="黑体" w:eastAsia="黑体" w:cs="黑体"/>
                <w:bCs/>
              </w:rPr>
            </w:pPr>
          </w:p>
        </w:tc>
        <w:tc>
          <w:tcPr>
            <w:tcW w:w="90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rPr>
                <w:rFonts w:ascii="黑体" w:hAnsi="黑体" w:eastAsia="黑体" w:cs="黑体"/>
                <w:bCs/>
                <w:szCs w:val="21"/>
              </w:rPr>
            </w:pPr>
          </w:p>
        </w:tc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5</w:t>
            </w:r>
          </w:p>
        </w:tc>
        <w:tc>
          <w:tcPr>
            <w:tcW w:w="45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城镇调查失业率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%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2.67%</w:t>
            </w:r>
          </w:p>
        </w:tc>
      </w:tr>
      <w:tr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312" w:hRule="atLeast"/>
          <w:jc w:val="center"/>
        </w:trPr>
        <w:tc>
          <w:tcPr>
            <w:tcW w:w="705" w:type="dxa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djustRightInd w:val="0"/>
              <w:snapToGrid w:val="0"/>
              <w:rPr>
                <w:rFonts w:ascii="黑体" w:hAnsi="黑体" w:eastAsia="黑体" w:cs="黑体"/>
                <w:bCs/>
              </w:rPr>
            </w:pPr>
          </w:p>
        </w:tc>
        <w:tc>
          <w:tcPr>
            <w:tcW w:w="90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黑体" w:hAnsi="黑体" w:eastAsia="黑体" w:cs="黑体"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Cs w:val="21"/>
              </w:rPr>
              <w:t>增长</w:t>
            </w:r>
          </w:p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黑体" w:hAnsi="黑体" w:eastAsia="黑体" w:cs="黑体"/>
                <w:bCs/>
                <w:color w:val="000000"/>
                <w:szCs w:val="21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Cs w:val="21"/>
              </w:rPr>
              <w:t>动能</w:t>
            </w:r>
          </w:p>
        </w:tc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6</w:t>
            </w:r>
          </w:p>
        </w:tc>
        <w:tc>
          <w:tcPr>
            <w:tcW w:w="45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长三角区域关区进出口总额占全国比重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%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2.67%</w:t>
            </w:r>
          </w:p>
        </w:tc>
      </w:tr>
      <w:tr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312" w:hRule="atLeast"/>
          <w:jc w:val="center"/>
        </w:trPr>
        <w:tc>
          <w:tcPr>
            <w:tcW w:w="705" w:type="dxa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djustRightInd w:val="0"/>
              <w:snapToGrid w:val="0"/>
              <w:rPr>
                <w:rFonts w:ascii="黑体" w:hAnsi="黑体" w:eastAsia="黑体" w:cs="黑体"/>
                <w:bCs/>
              </w:rPr>
            </w:pPr>
          </w:p>
        </w:tc>
        <w:tc>
          <w:tcPr>
            <w:tcW w:w="904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rPr>
                <w:rFonts w:ascii="黑体" w:hAnsi="黑体" w:eastAsia="黑体" w:cs="黑体"/>
                <w:bCs/>
                <w:szCs w:val="21"/>
              </w:rPr>
            </w:pPr>
          </w:p>
        </w:tc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7</w:t>
            </w:r>
          </w:p>
        </w:tc>
        <w:tc>
          <w:tcPr>
            <w:tcW w:w="45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民间投资占固定资产投资比重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%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2.67%</w:t>
            </w:r>
          </w:p>
        </w:tc>
      </w:tr>
      <w:tr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312" w:hRule="atLeast"/>
          <w:jc w:val="center"/>
        </w:trPr>
        <w:tc>
          <w:tcPr>
            <w:tcW w:w="705" w:type="dxa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djustRightInd w:val="0"/>
              <w:snapToGrid w:val="0"/>
              <w:rPr>
                <w:rFonts w:ascii="黑体" w:hAnsi="黑体" w:eastAsia="黑体" w:cs="黑体"/>
                <w:bCs/>
              </w:rPr>
            </w:pPr>
          </w:p>
        </w:tc>
        <w:tc>
          <w:tcPr>
            <w:tcW w:w="904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rPr>
                <w:rFonts w:ascii="黑体" w:hAnsi="黑体" w:eastAsia="黑体" w:cs="黑体"/>
                <w:bCs/>
                <w:szCs w:val="21"/>
              </w:rPr>
            </w:pPr>
          </w:p>
        </w:tc>
        <w:tc>
          <w:tcPr>
            <w:tcW w:w="663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8</w:t>
            </w:r>
          </w:p>
        </w:tc>
        <w:tc>
          <w:tcPr>
            <w:tcW w:w="45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三大先导产业制造领域营业收入占规上工业企业营业收入比重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%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2.67%</w:t>
            </w:r>
          </w:p>
        </w:tc>
      </w:tr>
      <w:tr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312" w:hRule="atLeast"/>
          <w:jc w:val="center"/>
        </w:trPr>
        <w:tc>
          <w:tcPr>
            <w:tcW w:w="705" w:type="dxa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djustRightInd w:val="0"/>
              <w:snapToGrid w:val="0"/>
              <w:rPr>
                <w:rFonts w:ascii="黑体" w:hAnsi="黑体" w:eastAsia="黑体" w:cs="黑体"/>
                <w:bCs/>
              </w:rPr>
            </w:pPr>
          </w:p>
        </w:tc>
        <w:tc>
          <w:tcPr>
            <w:tcW w:w="904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rPr>
                <w:rFonts w:ascii="黑体" w:hAnsi="黑体" w:eastAsia="黑体" w:cs="黑体"/>
                <w:bCs/>
                <w:szCs w:val="21"/>
              </w:rPr>
            </w:pPr>
          </w:p>
        </w:tc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9</w:t>
            </w:r>
          </w:p>
        </w:tc>
        <w:tc>
          <w:tcPr>
            <w:tcW w:w="45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全社会R&amp;D经费投入占地区生产总值比重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%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2.67%</w:t>
            </w:r>
          </w:p>
        </w:tc>
      </w:tr>
      <w:tr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312" w:hRule="atLeast"/>
          <w:jc w:val="center"/>
        </w:trPr>
        <w:tc>
          <w:tcPr>
            <w:tcW w:w="705" w:type="dxa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djustRightInd w:val="0"/>
              <w:snapToGrid w:val="0"/>
              <w:rPr>
                <w:rFonts w:ascii="黑体" w:hAnsi="黑体" w:eastAsia="黑体" w:cs="黑体"/>
                <w:bCs/>
              </w:rPr>
            </w:pPr>
          </w:p>
        </w:tc>
        <w:tc>
          <w:tcPr>
            <w:tcW w:w="904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rPr>
                <w:rFonts w:ascii="黑体" w:hAnsi="黑体" w:eastAsia="黑体" w:cs="黑体"/>
                <w:bCs/>
                <w:szCs w:val="21"/>
              </w:rPr>
            </w:pPr>
          </w:p>
        </w:tc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45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textAlignment w:val="center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数字中国发展水平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-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2.67%</w:t>
            </w:r>
          </w:p>
        </w:tc>
      </w:tr>
      <w:tr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312" w:hRule="atLeast"/>
          <w:jc w:val="center"/>
        </w:trPr>
        <w:tc>
          <w:tcPr>
            <w:tcW w:w="705" w:type="dxa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djustRightInd w:val="0"/>
              <w:snapToGrid w:val="0"/>
              <w:rPr>
                <w:rFonts w:ascii="黑体" w:hAnsi="黑体" w:eastAsia="黑体" w:cs="黑体"/>
                <w:bCs/>
              </w:rPr>
            </w:pPr>
          </w:p>
        </w:tc>
        <w:tc>
          <w:tcPr>
            <w:tcW w:w="904" w:type="dxa"/>
            <w:vMerge w:val="restar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黑体" w:hAnsi="黑体" w:eastAsia="黑体" w:cs="黑体"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Cs w:val="21"/>
              </w:rPr>
              <w:t>可持续</w:t>
            </w:r>
          </w:p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黑体" w:hAnsi="黑体" w:eastAsia="黑体" w:cs="黑体"/>
                <w:bCs/>
                <w:color w:val="000000"/>
                <w:szCs w:val="21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Cs w:val="21"/>
              </w:rPr>
              <w:t>发展</w:t>
            </w:r>
          </w:p>
        </w:tc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11</w:t>
            </w:r>
          </w:p>
        </w:tc>
        <w:tc>
          <w:tcPr>
            <w:tcW w:w="45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单位地区生产总值能耗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adjustRightInd w:val="0"/>
              <w:snapToGrid w:val="0"/>
              <w:ind w:right="-94" w:rightChars="-45"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 w:val="18"/>
                <w:szCs w:val="18"/>
              </w:rPr>
              <w:t>吨标准煤/万元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2.67%</w:t>
            </w:r>
          </w:p>
        </w:tc>
      </w:tr>
      <w:tr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312" w:hRule="atLeast"/>
          <w:jc w:val="center"/>
        </w:trPr>
        <w:tc>
          <w:tcPr>
            <w:tcW w:w="705" w:type="dxa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djustRightInd w:val="0"/>
              <w:snapToGrid w:val="0"/>
              <w:rPr>
                <w:rFonts w:ascii="黑体" w:hAnsi="黑体" w:eastAsia="黑体" w:cs="黑体"/>
                <w:bCs/>
              </w:rPr>
            </w:pPr>
          </w:p>
        </w:tc>
        <w:tc>
          <w:tcPr>
            <w:tcW w:w="904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rPr>
                <w:rFonts w:ascii="黑体" w:hAnsi="黑体" w:eastAsia="黑体" w:cs="黑体"/>
                <w:bCs/>
                <w:szCs w:val="21"/>
              </w:rPr>
            </w:pPr>
          </w:p>
        </w:tc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12</w:t>
            </w:r>
          </w:p>
        </w:tc>
        <w:tc>
          <w:tcPr>
            <w:tcW w:w="45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环境空气质量优良率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%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2.67%</w:t>
            </w:r>
          </w:p>
        </w:tc>
      </w:tr>
      <w:tr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312" w:hRule="atLeast"/>
          <w:jc w:val="center"/>
        </w:trPr>
        <w:tc>
          <w:tcPr>
            <w:tcW w:w="705" w:type="dxa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djustRightInd w:val="0"/>
              <w:snapToGrid w:val="0"/>
              <w:rPr>
                <w:rFonts w:ascii="黑体" w:hAnsi="黑体" w:eastAsia="黑体" w:cs="黑体"/>
                <w:bCs/>
              </w:rPr>
            </w:pPr>
          </w:p>
        </w:tc>
        <w:tc>
          <w:tcPr>
            <w:tcW w:w="904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rPr>
                <w:rFonts w:ascii="黑体" w:hAnsi="黑体" w:eastAsia="黑体" w:cs="黑体"/>
                <w:bCs/>
                <w:szCs w:val="21"/>
              </w:rPr>
            </w:pPr>
          </w:p>
        </w:tc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13</w:t>
            </w:r>
          </w:p>
        </w:tc>
        <w:tc>
          <w:tcPr>
            <w:tcW w:w="45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长三角生态绿色一体化发展示范区蓝绿空间占比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%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2.67%</w:t>
            </w:r>
          </w:p>
        </w:tc>
      </w:tr>
      <w:tr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312" w:hRule="atLeast"/>
          <w:jc w:val="center"/>
        </w:trPr>
        <w:tc>
          <w:tcPr>
            <w:tcW w:w="705" w:type="dxa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djustRightInd w:val="0"/>
              <w:snapToGrid w:val="0"/>
              <w:rPr>
                <w:rFonts w:ascii="黑体" w:hAnsi="黑体" w:eastAsia="黑体" w:cs="黑体"/>
                <w:bCs/>
              </w:rPr>
            </w:pPr>
          </w:p>
        </w:tc>
        <w:tc>
          <w:tcPr>
            <w:tcW w:w="904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rPr>
                <w:rFonts w:ascii="黑体" w:hAnsi="黑体" w:eastAsia="黑体" w:cs="黑体"/>
                <w:bCs/>
                <w:szCs w:val="21"/>
              </w:rPr>
            </w:pPr>
          </w:p>
        </w:tc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14</w:t>
            </w:r>
          </w:p>
        </w:tc>
        <w:tc>
          <w:tcPr>
            <w:tcW w:w="45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营商便利度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-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2.67%</w:t>
            </w:r>
          </w:p>
        </w:tc>
      </w:tr>
      <w:tr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312" w:hRule="atLeast"/>
          <w:jc w:val="center"/>
        </w:trPr>
        <w:tc>
          <w:tcPr>
            <w:tcW w:w="705" w:type="dxa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djustRightInd w:val="0"/>
              <w:snapToGrid w:val="0"/>
              <w:rPr>
                <w:rFonts w:ascii="黑体" w:hAnsi="黑体" w:eastAsia="黑体" w:cs="黑体"/>
                <w:bCs/>
              </w:rPr>
            </w:pPr>
          </w:p>
        </w:tc>
        <w:tc>
          <w:tcPr>
            <w:tcW w:w="904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rPr>
                <w:rFonts w:ascii="黑体" w:hAnsi="黑体" w:eastAsia="黑体" w:cs="黑体"/>
                <w:bCs/>
                <w:szCs w:val="21"/>
              </w:rPr>
            </w:pPr>
          </w:p>
        </w:tc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15</w:t>
            </w:r>
          </w:p>
        </w:tc>
        <w:tc>
          <w:tcPr>
            <w:tcW w:w="45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亿元生产总值生产安全事故死亡人数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人/亿元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2.67%</w:t>
            </w:r>
          </w:p>
        </w:tc>
      </w:tr>
      <w:tr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312" w:hRule="atLeast"/>
          <w:jc w:val="center"/>
        </w:trPr>
        <w:tc>
          <w:tcPr>
            <w:tcW w:w="705" w:type="dxa"/>
            <w:vMerge w:val="restar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黑体" w:hAnsi="黑体" w:eastAsia="黑体" w:cs="黑体"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Cs w:val="21"/>
              </w:rPr>
              <w:t>创新</w:t>
            </w:r>
          </w:p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黑体" w:hAnsi="黑体" w:eastAsia="黑体" w:cs="黑体"/>
                <w:bCs/>
                <w:color w:val="000000"/>
                <w:szCs w:val="21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Cs w:val="21"/>
              </w:rPr>
              <w:t>共建</w:t>
            </w:r>
          </w:p>
        </w:tc>
        <w:tc>
          <w:tcPr>
            <w:tcW w:w="904" w:type="dxa"/>
            <w:vMerge w:val="restar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黑体" w:hAnsi="黑体" w:eastAsia="黑体" w:cs="黑体"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Cs w:val="21"/>
              </w:rPr>
              <w:t>创新</w:t>
            </w:r>
          </w:p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黑体" w:hAnsi="黑体" w:eastAsia="黑体" w:cs="黑体"/>
                <w:bCs/>
                <w:color w:val="000000"/>
                <w:szCs w:val="21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Cs w:val="21"/>
              </w:rPr>
              <w:t>驱动</w:t>
            </w:r>
          </w:p>
        </w:tc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16</w:t>
            </w:r>
          </w:p>
        </w:tc>
        <w:tc>
          <w:tcPr>
            <w:tcW w:w="45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每万人新增发明专利拥有量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2.00%</w:t>
            </w:r>
          </w:p>
        </w:tc>
      </w:tr>
      <w:tr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312" w:hRule="atLeast"/>
          <w:jc w:val="center"/>
        </w:trPr>
        <w:tc>
          <w:tcPr>
            <w:tcW w:w="705" w:type="dxa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djustRightInd w:val="0"/>
              <w:snapToGrid w:val="0"/>
              <w:rPr>
                <w:rFonts w:ascii="黑体" w:hAnsi="黑体" w:eastAsia="黑体" w:cs="黑体"/>
                <w:bCs/>
              </w:rPr>
            </w:pPr>
          </w:p>
        </w:tc>
        <w:tc>
          <w:tcPr>
            <w:tcW w:w="904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rPr>
                <w:rFonts w:ascii="黑体" w:hAnsi="黑体" w:eastAsia="黑体" w:cs="黑体"/>
                <w:bCs/>
                <w:szCs w:val="21"/>
              </w:rPr>
            </w:pPr>
          </w:p>
        </w:tc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17</w:t>
            </w:r>
          </w:p>
        </w:tc>
        <w:tc>
          <w:tcPr>
            <w:tcW w:w="45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工业战略性新兴产业总产值占工业总产值比重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%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2.00%</w:t>
            </w:r>
          </w:p>
        </w:tc>
      </w:tr>
      <w:tr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312" w:hRule="atLeast"/>
          <w:jc w:val="center"/>
        </w:trPr>
        <w:tc>
          <w:tcPr>
            <w:tcW w:w="705" w:type="dxa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djustRightInd w:val="0"/>
              <w:snapToGrid w:val="0"/>
              <w:rPr>
                <w:rFonts w:ascii="黑体" w:hAnsi="黑体" w:eastAsia="黑体" w:cs="黑体"/>
                <w:bCs/>
              </w:rPr>
            </w:pPr>
          </w:p>
        </w:tc>
        <w:tc>
          <w:tcPr>
            <w:tcW w:w="904" w:type="dxa"/>
            <w:vMerge w:val="restar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黑体" w:hAnsi="黑体" w:eastAsia="黑体" w:cs="黑体"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Cs w:val="21"/>
              </w:rPr>
              <w:t>创新</w:t>
            </w:r>
          </w:p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黑体" w:hAnsi="黑体" w:eastAsia="黑体" w:cs="黑体"/>
                <w:bCs/>
                <w:color w:val="000000"/>
                <w:szCs w:val="21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Cs w:val="21"/>
              </w:rPr>
              <w:t>成效</w:t>
            </w:r>
          </w:p>
        </w:tc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18</w:t>
            </w:r>
          </w:p>
        </w:tc>
        <w:tc>
          <w:tcPr>
            <w:tcW w:w="45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每万人口研发人员全时当量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人年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2.00%</w:t>
            </w:r>
          </w:p>
        </w:tc>
      </w:tr>
      <w:tr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312" w:hRule="atLeast"/>
          <w:jc w:val="center"/>
        </w:trPr>
        <w:tc>
          <w:tcPr>
            <w:tcW w:w="705" w:type="dxa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djustRightInd w:val="0"/>
              <w:snapToGrid w:val="0"/>
              <w:rPr>
                <w:rFonts w:ascii="黑体" w:hAnsi="黑体" w:eastAsia="黑体" w:cs="黑体"/>
                <w:bCs/>
              </w:rPr>
            </w:pPr>
          </w:p>
        </w:tc>
        <w:tc>
          <w:tcPr>
            <w:tcW w:w="904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rPr>
                <w:rFonts w:ascii="黑体" w:hAnsi="黑体" w:eastAsia="黑体" w:cs="黑体"/>
                <w:bCs/>
                <w:szCs w:val="21"/>
              </w:rPr>
            </w:pPr>
          </w:p>
        </w:tc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19</w:t>
            </w:r>
          </w:p>
        </w:tc>
        <w:tc>
          <w:tcPr>
            <w:tcW w:w="45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软件信息服务业增加值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亿元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2.00%</w:t>
            </w:r>
          </w:p>
        </w:tc>
      </w:tr>
      <w:tr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312" w:hRule="atLeast"/>
          <w:jc w:val="center"/>
        </w:trPr>
        <w:tc>
          <w:tcPr>
            <w:tcW w:w="705" w:type="dxa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djustRightInd w:val="0"/>
              <w:snapToGrid w:val="0"/>
              <w:rPr>
                <w:rFonts w:ascii="黑体" w:hAnsi="黑体" w:eastAsia="黑体" w:cs="黑体"/>
                <w:bCs/>
              </w:rPr>
            </w:pPr>
          </w:p>
        </w:tc>
        <w:tc>
          <w:tcPr>
            <w:tcW w:w="904" w:type="dxa"/>
            <w:vMerge w:val="restar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黑体" w:hAnsi="黑体" w:eastAsia="黑体" w:cs="黑体"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Cs w:val="21"/>
              </w:rPr>
              <w:t>创新</w:t>
            </w:r>
          </w:p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黑体" w:hAnsi="黑体" w:eastAsia="黑体" w:cs="黑体"/>
                <w:bCs/>
                <w:color w:val="000000"/>
                <w:szCs w:val="21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Cs w:val="21"/>
              </w:rPr>
              <w:t>协作</w:t>
            </w:r>
          </w:p>
        </w:tc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20</w:t>
            </w:r>
          </w:p>
        </w:tc>
        <w:tc>
          <w:tcPr>
            <w:tcW w:w="45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长三角地区间技术合同成交额占区域成交额比重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%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2.00%</w:t>
            </w:r>
          </w:p>
        </w:tc>
      </w:tr>
      <w:tr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312" w:hRule="atLeast"/>
          <w:jc w:val="center"/>
        </w:trPr>
        <w:tc>
          <w:tcPr>
            <w:tcW w:w="705" w:type="dxa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djustRightInd w:val="0"/>
              <w:snapToGrid w:val="0"/>
              <w:rPr>
                <w:rFonts w:ascii="黑体" w:hAnsi="黑体" w:eastAsia="黑体" w:cs="黑体"/>
                <w:bCs/>
              </w:rPr>
            </w:pPr>
          </w:p>
        </w:tc>
        <w:tc>
          <w:tcPr>
            <w:tcW w:w="904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rPr>
                <w:rFonts w:ascii="黑体" w:hAnsi="黑体" w:eastAsia="黑体" w:cs="黑体"/>
                <w:bCs/>
                <w:szCs w:val="21"/>
              </w:rPr>
            </w:pPr>
          </w:p>
        </w:tc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21</w:t>
            </w:r>
          </w:p>
        </w:tc>
        <w:tc>
          <w:tcPr>
            <w:tcW w:w="45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长三角区域专利转移数量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万件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2.00%</w:t>
            </w:r>
          </w:p>
        </w:tc>
      </w:tr>
      <w:tr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312" w:hRule="atLeast"/>
          <w:jc w:val="center"/>
        </w:trPr>
        <w:tc>
          <w:tcPr>
            <w:tcW w:w="705" w:type="dxa"/>
            <w:vMerge w:val="restar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黑体" w:hAnsi="黑体" w:eastAsia="黑体" w:cs="黑体"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Cs w:val="21"/>
              </w:rPr>
              <w:t>协调</w:t>
            </w:r>
          </w:p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黑体" w:hAnsi="黑体" w:eastAsia="黑体" w:cs="黑体"/>
                <w:bCs/>
                <w:color w:val="000000"/>
                <w:szCs w:val="21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Cs w:val="21"/>
              </w:rPr>
              <w:t>共进</w:t>
            </w:r>
          </w:p>
        </w:tc>
        <w:tc>
          <w:tcPr>
            <w:tcW w:w="904" w:type="dxa"/>
            <w:vMerge w:val="restar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黑体" w:hAnsi="黑体" w:eastAsia="黑体" w:cs="黑体"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Cs w:val="21"/>
              </w:rPr>
              <w:t>产业</w:t>
            </w:r>
          </w:p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黑体" w:hAnsi="黑体" w:eastAsia="黑体" w:cs="黑体"/>
                <w:bCs/>
                <w:color w:val="000000"/>
                <w:szCs w:val="21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Cs w:val="21"/>
              </w:rPr>
              <w:t>协调</w:t>
            </w:r>
          </w:p>
        </w:tc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22</w:t>
            </w:r>
          </w:p>
        </w:tc>
        <w:tc>
          <w:tcPr>
            <w:tcW w:w="45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制造业产业结构地区协调程度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-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1.71%</w:t>
            </w:r>
          </w:p>
        </w:tc>
      </w:tr>
      <w:tr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312" w:hRule="atLeast"/>
          <w:jc w:val="center"/>
        </w:trPr>
        <w:tc>
          <w:tcPr>
            <w:tcW w:w="705" w:type="dxa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djustRightInd w:val="0"/>
              <w:snapToGrid w:val="0"/>
              <w:rPr>
                <w:rFonts w:ascii="黑体" w:hAnsi="黑体" w:eastAsia="黑体" w:cs="黑体"/>
                <w:bCs/>
              </w:rPr>
            </w:pPr>
          </w:p>
        </w:tc>
        <w:tc>
          <w:tcPr>
            <w:tcW w:w="904" w:type="dxa"/>
            <w:vMerge w:val="continue"/>
            <w:tcBorders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rPr>
                <w:rFonts w:ascii="黑体" w:hAnsi="黑体" w:eastAsia="黑体" w:cs="黑体"/>
                <w:bCs/>
                <w:szCs w:val="21"/>
              </w:rPr>
            </w:pPr>
          </w:p>
        </w:tc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23</w:t>
            </w:r>
          </w:p>
        </w:tc>
        <w:tc>
          <w:tcPr>
            <w:tcW w:w="45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生产性服务业产业结构地区协调程度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-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1.71%</w:t>
            </w:r>
          </w:p>
        </w:tc>
      </w:tr>
      <w:tr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312" w:hRule="atLeast"/>
          <w:jc w:val="center"/>
        </w:trPr>
        <w:tc>
          <w:tcPr>
            <w:tcW w:w="705" w:type="dxa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djustRightInd w:val="0"/>
              <w:snapToGrid w:val="0"/>
              <w:rPr>
                <w:rFonts w:ascii="黑体" w:hAnsi="黑体" w:eastAsia="黑体" w:cs="黑体"/>
                <w:bCs/>
              </w:rPr>
            </w:pPr>
          </w:p>
        </w:tc>
        <w:tc>
          <w:tcPr>
            <w:tcW w:w="904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黑体" w:hAnsi="黑体" w:eastAsia="黑体" w:cs="黑体"/>
                <w:bCs/>
                <w:color w:val="000000"/>
                <w:szCs w:val="21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szCs w:val="21"/>
              </w:rPr>
              <w:t>市场</w:t>
            </w:r>
          </w:p>
          <w:p>
            <w:pPr>
              <w:widowControl/>
              <w:adjustRightInd w:val="0"/>
              <w:snapToGrid w:val="0"/>
              <w:jc w:val="center"/>
              <w:rPr>
                <w:rFonts w:ascii="黑体" w:hAnsi="黑体" w:eastAsia="黑体" w:cs="黑体"/>
                <w:bCs/>
                <w:color w:val="000000"/>
                <w:szCs w:val="21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szCs w:val="21"/>
              </w:rPr>
              <w:t>协调</w:t>
            </w:r>
          </w:p>
        </w:tc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24</w:t>
            </w:r>
          </w:p>
        </w:tc>
        <w:tc>
          <w:tcPr>
            <w:tcW w:w="45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区域共建“长三角区域标准数”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条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1.71%</w:t>
            </w:r>
          </w:p>
        </w:tc>
      </w:tr>
      <w:tr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312" w:hRule="atLeast"/>
          <w:jc w:val="center"/>
        </w:trPr>
        <w:tc>
          <w:tcPr>
            <w:tcW w:w="705" w:type="dxa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djustRightInd w:val="0"/>
              <w:snapToGrid w:val="0"/>
              <w:rPr>
                <w:rFonts w:ascii="黑体" w:hAnsi="黑体" w:eastAsia="黑体" w:cs="黑体"/>
                <w:bCs/>
              </w:rPr>
            </w:pPr>
          </w:p>
        </w:tc>
        <w:tc>
          <w:tcPr>
            <w:tcW w:w="904" w:type="dxa"/>
            <w:vMerge w:val="restar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黑体" w:hAnsi="黑体" w:eastAsia="黑体" w:cs="黑体"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Cs w:val="21"/>
              </w:rPr>
              <w:t>基础设</w:t>
            </w:r>
          </w:p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黑体" w:hAnsi="黑体" w:eastAsia="黑体" w:cs="黑体"/>
                <w:bCs/>
                <w:color w:val="000000"/>
                <w:szCs w:val="21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Cs w:val="21"/>
              </w:rPr>
              <w:t>施协调</w:t>
            </w:r>
          </w:p>
        </w:tc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25</w:t>
            </w:r>
          </w:p>
        </w:tc>
        <w:tc>
          <w:tcPr>
            <w:tcW w:w="45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铁路密度协调程度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-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1.71%</w:t>
            </w:r>
          </w:p>
        </w:tc>
      </w:tr>
      <w:tr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312" w:hRule="atLeast"/>
          <w:jc w:val="center"/>
        </w:trPr>
        <w:tc>
          <w:tcPr>
            <w:tcW w:w="705" w:type="dxa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djustRightInd w:val="0"/>
              <w:snapToGrid w:val="0"/>
              <w:rPr>
                <w:rFonts w:ascii="黑体" w:hAnsi="黑体" w:eastAsia="黑体" w:cs="黑体"/>
                <w:bCs/>
              </w:rPr>
            </w:pPr>
          </w:p>
        </w:tc>
        <w:tc>
          <w:tcPr>
            <w:tcW w:w="904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rPr>
                <w:rFonts w:ascii="黑体" w:hAnsi="黑体" w:eastAsia="黑体" w:cs="黑体"/>
                <w:bCs/>
                <w:szCs w:val="21"/>
              </w:rPr>
            </w:pPr>
          </w:p>
        </w:tc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26</w:t>
            </w:r>
          </w:p>
        </w:tc>
        <w:tc>
          <w:tcPr>
            <w:tcW w:w="45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高速公路密度协调程度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-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1.71%</w:t>
            </w:r>
          </w:p>
        </w:tc>
      </w:tr>
      <w:tr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312" w:hRule="atLeast"/>
          <w:jc w:val="center"/>
        </w:trPr>
        <w:tc>
          <w:tcPr>
            <w:tcW w:w="705" w:type="dxa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djustRightInd w:val="0"/>
              <w:snapToGrid w:val="0"/>
              <w:rPr>
                <w:rFonts w:ascii="黑体" w:hAnsi="黑体" w:eastAsia="黑体" w:cs="黑体"/>
                <w:bCs/>
              </w:rPr>
            </w:pPr>
          </w:p>
        </w:tc>
        <w:tc>
          <w:tcPr>
            <w:tcW w:w="904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黑体" w:hAnsi="黑体" w:eastAsia="黑体" w:cs="黑体"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Cs w:val="21"/>
              </w:rPr>
              <w:t>城乡</w:t>
            </w:r>
          </w:p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黑体" w:hAnsi="黑体" w:eastAsia="黑体" w:cs="黑体"/>
                <w:bCs/>
                <w:color w:val="000000"/>
                <w:szCs w:val="21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Cs w:val="21"/>
              </w:rPr>
              <w:t>协调</w:t>
            </w:r>
          </w:p>
        </w:tc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27</w:t>
            </w:r>
          </w:p>
        </w:tc>
        <w:tc>
          <w:tcPr>
            <w:tcW w:w="45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城乡居民收入之比协调程度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-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1.71%</w:t>
            </w:r>
          </w:p>
        </w:tc>
      </w:tr>
      <w:tr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312" w:hRule="atLeast"/>
          <w:jc w:val="center"/>
        </w:trPr>
        <w:tc>
          <w:tcPr>
            <w:tcW w:w="705" w:type="dxa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djustRightInd w:val="0"/>
              <w:snapToGrid w:val="0"/>
              <w:rPr>
                <w:rFonts w:ascii="黑体" w:hAnsi="黑体" w:eastAsia="黑体" w:cs="黑体"/>
                <w:bCs/>
              </w:rPr>
            </w:pPr>
          </w:p>
        </w:tc>
        <w:tc>
          <w:tcPr>
            <w:tcW w:w="9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黑体" w:hAnsi="黑体" w:eastAsia="黑体" w:cs="黑体"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Cs w:val="21"/>
              </w:rPr>
              <w:t>要素</w:t>
            </w:r>
          </w:p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黑体" w:hAnsi="黑体" w:eastAsia="黑体" w:cs="黑体"/>
                <w:bCs/>
                <w:color w:val="000000"/>
                <w:szCs w:val="21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Cs w:val="21"/>
              </w:rPr>
              <w:t>协调</w:t>
            </w:r>
          </w:p>
        </w:tc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28</w:t>
            </w:r>
          </w:p>
        </w:tc>
        <w:tc>
          <w:tcPr>
            <w:tcW w:w="45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全员劳动生产率协调程度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-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1.71%</w:t>
            </w:r>
          </w:p>
        </w:tc>
      </w:tr>
      <w:tr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312" w:hRule="atLeast"/>
          <w:jc w:val="center"/>
        </w:trPr>
        <w:tc>
          <w:tcPr>
            <w:tcW w:w="705" w:type="dxa"/>
            <w:vMerge w:val="restar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黑体" w:hAnsi="黑体" w:eastAsia="黑体" w:cs="黑体"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Cs w:val="21"/>
              </w:rPr>
              <w:t>绿色</w:t>
            </w:r>
          </w:p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黑体" w:hAnsi="黑体" w:eastAsia="黑体" w:cs="黑体"/>
                <w:bCs/>
                <w:color w:val="000000"/>
                <w:szCs w:val="21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Cs w:val="21"/>
              </w:rPr>
              <w:t>共保</w:t>
            </w:r>
          </w:p>
        </w:tc>
        <w:tc>
          <w:tcPr>
            <w:tcW w:w="90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黑体" w:hAnsi="黑体" w:eastAsia="黑体" w:cs="黑体"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Cs w:val="21"/>
              </w:rPr>
              <w:t>蓝天</w:t>
            </w:r>
          </w:p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黑体" w:hAnsi="黑体" w:eastAsia="黑体" w:cs="黑体"/>
                <w:bCs/>
                <w:color w:val="000000"/>
                <w:szCs w:val="21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Cs w:val="21"/>
              </w:rPr>
              <w:t>共护</w:t>
            </w:r>
          </w:p>
        </w:tc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29</w:t>
            </w:r>
          </w:p>
        </w:tc>
        <w:tc>
          <w:tcPr>
            <w:tcW w:w="45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PM</w:t>
            </w:r>
            <w:r>
              <w:rPr>
                <w:rFonts w:hint="eastAsia" w:ascii="宋体" w:cs="宋体"/>
                <w:color w:val="000000"/>
                <w:kern w:val="0"/>
                <w:szCs w:val="21"/>
                <w:vertAlign w:val="subscript"/>
              </w:rPr>
              <w:t>2.5</w:t>
            </w:r>
            <w:r>
              <w:rPr>
                <w:rFonts w:hint="eastAsia" w:ascii="宋体" w:cs="宋体"/>
                <w:color w:val="000000"/>
                <w:kern w:val="0"/>
                <w:szCs w:val="21"/>
              </w:rPr>
              <w:t>平均浓度协调程度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-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2.00%</w:t>
            </w:r>
          </w:p>
        </w:tc>
      </w:tr>
      <w:tr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312" w:hRule="atLeast"/>
          <w:jc w:val="center"/>
        </w:trPr>
        <w:tc>
          <w:tcPr>
            <w:tcW w:w="705" w:type="dxa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djustRightInd w:val="0"/>
              <w:snapToGrid w:val="0"/>
              <w:rPr>
                <w:rFonts w:ascii="黑体" w:hAnsi="黑体" w:eastAsia="黑体" w:cs="黑体"/>
                <w:bCs/>
              </w:rPr>
            </w:pPr>
          </w:p>
        </w:tc>
        <w:tc>
          <w:tcPr>
            <w:tcW w:w="90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rPr>
                <w:rFonts w:ascii="黑体" w:hAnsi="黑体" w:eastAsia="黑体" w:cs="黑体"/>
                <w:bCs/>
                <w:szCs w:val="21"/>
              </w:rPr>
            </w:pPr>
          </w:p>
        </w:tc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30</w:t>
            </w:r>
          </w:p>
        </w:tc>
        <w:tc>
          <w:tcPr>
            <w:tcW w:w="45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工业主要大气污染物排放量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万吨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2.00%</w:t>
            </w:r>
          </w:p>
        </w:tc>
      </w:tr>
      <w:tr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312" w:hRule="atLeast"/>
          <w:jc w:val="center"/>
        </w:trPr>
        <w:tc>
          <w:tcPr>
            <w:tcW w:w="705" w:type="dxa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djustRightInd w:val="0"/>
              <w:snapToGrid w:val="0"/>
              <w:rPr>
                <w:rFonts w:ascii="黑体" w:hAnsi="黑体" w:eastAsia="黑体" w:cs="黑体"/>
                <w:bCs/>
              </w:rPr>
            </w:pPr>
          </w:p>
        </w:tc>
        <w:tc>
          <w:tcPr>
            <w:tcW w:w="90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黑体" w:hAnsi="黑体" w:eastAsia="黑体" w:cs="黑体"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Cs w:val="21"/>
              </w:rPr>
              <w:t>碧水</w:t>
            </w:r>
          </w:p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黑体" w:hAnsi="黑体" w:eastAsia="黑体" w:cs="黑体"/>
                <w:bCs/>
                <w:color w:val="000000"/>
                <w:szCs w:val="21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Cs w:val="21"/>
              </w:rPr>
              <w:t>共治</w:t>
            </w:r>
          </w:p>
        </w:tc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31</w:t>
            </w:r>
          </w:p>
        </w:tc>
        <w:tc>
          <w:tcPr>
            <w:tcW w:w="45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地表水达到或好于III类水体比例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%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2.00%</w:t>
            </w:r>
          </w:p>
        </w:tc>
      </w:tr>
      <w:tr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312" w:hRule="atLeast"/>
          <w:jc w:val="center"/>
        </w:trPr>
        <w:tc>
          <w:tcPr>
            <w:tcW w:w="705" w:type="dxa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djustRightInd w:val="0"/>
              <w:snapToGrid w:val="0"/>
              <w:rPr>
                <w:rFonts w:ascii="黑体" w:hAnsi="黑体" w:eastAsia="黑体" w:cs="黑体"/>
                <w:bCs/>
              </w:rPr>
            </w:pPr>
          </w:p>
        </w:tc>
        <w:tc>
          <w:tcPr>
            <w:tcW w:w="90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rPr>
                <w:rFonts w:ascii="黑体" w:hAnsi="黑体" w:eastAsia="黑体" w:cs="黑体"/>
                <w:bCs/>
                <w:szCs w:val="21"/>
              </w:rPr>
            </w:pPr>
          </w:p>
        </w:tc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32</w:t>
            </w:r>
          </w:p>
        </w:tc>
        <w:tc>
          <w:tcPr>
            <w:tcW w:w="45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工业主要水污染物排放量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万吨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2.00%</w:t>
            </w:r>
          </w:p>
        </w:tc>
      </w:tr>
      <w:tr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312" w:hRule="atLeast"/>
          <w:jc w:val="center"/>
        </w:trPr>
        <w:tc>
          <w:tcPr>
            <w:tcW w:w="705" w:type="dxa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djustRightInd w:val="0"/>
              <w:snapToGrid w:val="0"/>
              <w:rPr>
                <w:rFonts w:ascii="黑体" w:hAnsi="黑体" w:eastAsia="黑体" w:cs="黑体"/>
                <w:bCs/>
              </w:rPr>
            </w:pPr>
          </w:p>
        </w:tc>
        <w:tc>
          <w:tcPr>
            <w:tcW w:w="90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黑体" w:hAnsi="黑体" w:eastAsia="黑体" w:cs="黑体"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Cs w:val="21"/>
              </w:rPr>
              <w:t>资源</w:t>
            </w:r>
          </w:p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黑体" w:hAnsi="黑体" w:eastAsia="黑体" w:cs="黑体"/>
                <w:bCs/>
                <w:color w:val="000000"/>
                <w:szCs w:val="21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Cs w:val="21"/>
              </w:rPr>
              <w:t>集约</w:t>
            </w:r>
          </w:p>
        </w:tc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33</w:t>
            </w:r>
          </w:p>
        </w:tc>
        <w:tc>
          <w:tcPr>
            <w:tcW w:w="45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单位地区生产总值建设用地使用面积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公顷/亿元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2.00%</w:t>
            </w:r>
          </w:p>
        </w:tc>
      </w:tr>
      <w:tr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312" w:hRule="atLeast"/>
          <w:jc w:val="center"/>
        </w:trPr>
        <w:tc>
          <w:tcPr>
            <w:tcW w:w="705" w:type="dxa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djustRightInd w:val="0"/>
              <w:snapToGrid w:val="0"/>
              <w:rPr>
                <w:rFonts w:ascii="黑体" w:hAnsi="黑体" w:eastAsia="黑体" w:cs="黑体"/>
                <w:bCs/>
              </w:rPr>
            </w:pPr>
          </w:p>
        </w:tc>
        <w:tc>
          <w:tcPr>
            <w:tcW w:w="90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rPr>
                <w:rFonts w:ascii="黑体" w:hAnsi="黑体" w:eastAsia="黑体" w:cs="黑体"/>
                <w:bCs/>
                <w:szCs w:val="21"/>
              </w:rPr>
            </w:pPr>
          </w:p>
        </w:tc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34</w:t>
            </w:r>
          </w:p>
        </w:tc>
        <w:tc>
          <w:tcPr>
            <w:tcW w:w="45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可再生能源占能源消费总量比重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%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2.00%</w:t>
            </w:r>
          </w:p>
        </w:tc>
      </w:tr>
      <w:tr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312" w:hRule="atLeast"/>
          <w:jc w:val="center"/>
        </w:trPr>
        <w:tc>
          <w:tcPr>
            <w:tcW w:w="705" w:type="dxa"/>
            <w:vMerge w:val="restar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黑体" w:hAnsi="黑体" w:eastAsia="黑体" w:cs="黑体"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Cs w:val="21"/>
              </w:rPr>
              <w:t>开放</w:t>
            </w:r>
          </w:p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黑体" w:hAnsi="黑体" w:eastAsia="黑体" w:cs="黑体"/>
                <w:bCs/>
                <w:color w:val="000000"/>
                <w:szCs w:val="21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Cs w:val="21"/>
              </w:rPr>
              <w:t>共赢</w:t>
            </w:r>
          </w:p>
        </w:tc>
        <w:tc>
          <w:tcPr>
            <w:tcW w:w="90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黑体" w:hAnsi="黑体" w:eastAsia="黑体" w:cs="黑体"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Cs w:val="21"/>
              </w:rPr>
              <w:t>国际</w:t>
            </w:r>
          </w:p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黑体" w:hAnsi="黑体" w:eastAsia="黑体" w:cs="黑体"/>
                <w:bCs/>
                <w:color w:val="000000"/>
                <w:szCs w:val="21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Cs w:val="21"/>
              </w:rPr>
              <w:t>贸易</w:t>
            </w:r>
          </w:p>
        </w:tc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35</w:t>
            </w:r>
          </w:p>
        </w:tc>
        <w:tc>
          <w:tcPr>
            <w:tcW w:w="45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货物进出口总额占全国比重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%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1.71%</w:t>
            </w:r>
          </w:p>
        </w:tc>
      </w:tr>
      <w:tr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312" w:hRule="atLeast"/>
          <w:jc w:val="center"/>
        </w:trPr>
        <w:tc>
          <w:tcPr>
            <w:tcW w:w="705" w:type="dxa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djustRightInd w:val="0"/>
              <w:snapToGrid w:val="0"/>
              <w:rPr>
                <w:rFonts w:ascii="黑体" w:hAnsi="黑体" w:eastAsia="黑体" w:cs="黑体"/>
                <w:bCs/>
              </w:rPr>
            </w:pPr>
          </w:p>
        </w:tc>
        <w:tc>
          <w:tcPr>
            <w:tcW w:w="90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rPr>
                <w:rFonts w:ascii="黑体" w:hAnsi="黑体" w:eastAsia="黑体" w:cs="黑体"/>
                <w:bCs/>
                <w:szCs w:val="21"/>
              </w:rPr>
            </w:pPr>
          </w:p>
        </w:tc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36</w:t>
            </w:r>
          </w:p>
        </w:tc>
        <w:tc>
          <w:tcPr>
            <w:tcW w:w="45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服务贸易进出口占全国比重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%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1.71%</w:t>
            </w:r>
          </w:p>
        </w:tc>
      </w:tr>
      <w:tr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312" w:hRule="atLeast"/>
          <w:jc w:val="center"/>
        </w:trPr>
        <w:tc>
          <w:tcPr>
            <w:tcW w:w="705" w:type="dxa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djustRightInd w:val="0"/>
              <w:snapToGrid w:val="0"/>
              <w:rPr>
                <w:rFonts w:ascii="黑体" w:hAnsi="黑体" w:eastAsia="黑体" w:cs="黑体"/>
                <w:bCs/>
              </w:rPr>
            </w:pPr>
          </w:p>
        </w:tc>
        <w:tc>
          <w:tcPr>
            <w:tcW w:w="90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rPr>
                <w:rFonts w:ascii="黑体" w:hAnsi="黑体" w:eastAsia="黑体" w:cs="黑体"/>
                <w:bCs/>
                <w:szCs w:val="21"/>
              </w:rPr>
            </w:pPr>
          </w:p>
        </w:tc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37</w:t>
            </w:r>
          </w:p>
        </w:tc>
        <w:tc>
          <w:tcPr>
            <w:tcW w:w="45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长三角自贸区进出口总额占全国自贸区进出口总额比重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%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1.71%</w:t>
            </w:r>
          </w:p>
        </w:tc>
      </w:tr>
      <w:tr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312" w:hRule="atLeast"/>
          <w:jc w:val="center"/>
        </w:trPr>
        <w:tc>
          <w:tcPr>
            <w:tcW w:w="705" w:type="dxa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djustRightInd w:val="0"/>
              <w:snapToGrid w:val="0"/>
              <w:rPr>
                <w:rFonts w:ascii="黑体" w:hAnsi="黑体" w:eastAsia="黑体" w:cs="黑体"/>
                <w:bCs/>
              </w:rPr>
            </w:pPr>
          </w:p>
        </w:tc>
        <w:tc>
          <w:tcPr>
            <w:tcW w:w="90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黑体" w:hAnsi="黑体" w:eastAsia="黑体" w:cs="黑体"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Cs w:val="21"/>
              </w:rPr>
              <w:t>国际</w:t>
            </w:r>
          </w:p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黑体" w:hAnsi="黑体" w:eastAsia="黑体" w:cs="黑体"/>
                <w:bCs/>
                <w:color w:val="000000"/>
                <w:szCs w:val="21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Cs w:val="21"/>
              </w:rPr>
              <w:t>投资</w:t>
            </w:r>
          </w:p>
        </w:tc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38</w:t>
            </w:r>
          </w:p>
        </w:tc>
        <w:tc>
          <w:tcPr>
            <w:tcW w:w="45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人均对外直接投资额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美元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1.71%</w:t>
            </w:r>
          </w:p>
        </w:tc>
      </w:tr>
      <w:tr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312" w:hRule="atLeast"/>
          <w:jc w:val="center"/>
        </w:trPr>
        <w:tc>
          <w:tcPr>
            <w:tcW w:w="705" w:type="dxa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djustRightInd w:val="0"/>
              <w:snapToGrid w:val="0"/>
              <w:rPr>
                <w:rFonts w:ascii="黑体" w:hAnsi="黑体" w:eastAsia="黑体" w:cs="黑体"/>
                <w:bCs/>
              </w:rPr>
            </w:pPr>
          </w:p>
        </w:tc>
        <w:tc>
          <w:tcPr>
            <w:tcW w:w="90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rPr>
                <w:rFonts w:ascii="黑体" w:hAnsi="黑体" w:eastAsia="黑体" w:cs="黑体"/>
                <w:bCs/>
                <w:szCs w:val="21"/>
              </w:rPr>
            </w:pPr>
          </w:p>
        </w:tc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39</w:t>
            </w:r>
          </w:p>
        </w:tc>
        <w:tc>
          <w:tcPr>
            <w:tcW w:w="45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实际使用外资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亿美元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1.71%</w:t>
            </w:r>
          </w:p>
        </w:tc>
      </w:tr>
      <w:tr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312" w:hRule="atLeast"/>
          <w:jc w:val="center"/>
        </w:trPr>
        <w:tc>
          <w:tcPr>
            <w:tcW w:w="705" w:type="dxa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djustRightInd w:val="0"/>
              <w:snapToGrid w:val="0"/>
              <w:rPr>
                <w:rFonts w:ascii="黑体" w:hAnsi="黑体" w:eastAsia="黑体" w:cs="黑体"/>
                <w:bCs/>
              </w:rPr>
            </w:pPr>
          </w:p>
        </w:tc>
        <w:tc>
          <w:tcPr>
            <w:tcW w:w="90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黑体" w:hAnsi="黑体" w:eastAsia="黑体" w:cs="黑体"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Cs w:val="21"/>
              </w:rPr>
              <w:t>对内</w:t>
            </w:r>
          </w:p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黑体" w:hAnsi="黑体" w:eastAsia="黑体" w:cs="黑体"/>
                <w:bCs/>
                <w:color w:val="000000"/>
                <w:szCs w:val="21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Cs w:val="21"/>
              </w:rPr>
              <w:t>开放</w:t>
            </w:r>
          </w:p>
        </w:tc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40</w:t>
            </w:r>
          </w:p>
        </w:tc>
        <w:tc>
          <w:tcPr>
            <w:tcW w:w="45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长三角地区间铁路货运流量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万吨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1.71%</w:t>
            </w:r>
          </w:p>
        </w:tc>
      </w:tr>
      <w:tr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312" w:hRule="atLeast"/>
          <w:jc w:val="center"/>
        </w:trPr>
        <w:tc>
          <w:tcPr>
            <w:tcW w:w="705" w:type="dxa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djustRightInd w:val="0"/>
              <w:snapToGrid w:val="0"/>
              <w:rPr>
                <w:rFonts w:ascii="黑体" w:hAnsi="黑体" w:eastAsia="黑体" w:cs="黑体"/>
                <w:bCs/>
              </w:rPr>
            </w:pPr>
          </w:p>
        </w:tc>
        <w:tc>
          <w:tcPr>
            <w:tcW w:w="90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rPr>
                <w:rFonts w:ascii="黑体" w:hAnsi="黑体" w:eastAsia="黑体" w:cs="黑体"/>
                <w:bCs/>
                <w:szCs w:val="21"/>
              </w:rPr>
            </w:pPr>
          </w:p>
        </w:tc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41</w:t>
            </w:r>
          </w:p>
        </w:tc>
        <w:tc>
          <w:tcPr>
            <w:tcW w:w="45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长三角区域公司并购数量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1.71%</w:t>
            </w:r>
          </w:p>
        </w:tc>
      </w:tr>
      <w:tr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312" w:hRule="atLeast"/>
          <w:jc w:val="center"/>
        </w:trPr>
        <w:tc>
          <w:tcPr>
            <w:tcW w:w="705" w:type="dxa"/>
            <w:vMerge w:val="restar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黑体" w:hAnsi="黑体" w:eastAsia="黑体" w:cs="黑体"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Cs w:val="21"/>
              </w:rPr>
              <w:t>民生</w:t>
            </w:r>
          </w:p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黑体" w:hAnsi="黑体" w:eastAsia="黑体" w:cs="黑体"/>
                <w:bCs/>
                <w:color w:val="000000"/>
                <w:szCs w:val="21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Cs w:val="21"/>
              </w:rPr>
              <w:t>共享</w:t>
            </w:r>
          </w:p>
        </w:tc>
        <w:tc>
          <w:tcPr>
            <w:tcW w:w="90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黑体" w:hAnsi="黑体" w:eastAsia="黑体" w:cs="黑体"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Cs w:val="21"/>
              </w:rPr>
              <w:t>公共</w:t>
            </w:r>
          </w:p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黑体" w:hAnsi="黑体" w:eastAsia="黑体" w:cs="黑体"/>
                <w:bCs/>
                <w:color w:val="000000"/>
                <w:szCs w:val="21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Cs w:val="21"/>
              </w:rPr>
              <w:t>服务</w:t>
            </w:r>
          </w:p>
        </w:tc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42</w:t>
            </w:r>
          </w:p>
        </w:tc>
        <w:tc>
          <w:tcPr>
            <w:tcW w:w="45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每万常住人口大专以上院校在校生人数协调程度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-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1.50%</w:t>
            </w:r>
          </w:p>
        </w:tc>
      </w:tr>
      <w:tr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312" w:hRule="atLeast"/>
          <w:jc w:val="center"/>
        </w:trPr>
        <w:tc>
          <w:tcPr>
            <w:tcW w:w="705" w:type="dxa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djustRightInd w:val="0"/>
              <w:snapToGrid w:val="0"/>
              <w:rPr>
                <w:rFonts w:ascii="黑体" w:hAnsi="黑体" w:eastAsia="黑体" w:cs="黑体"/>
                <w:bCs/>
              </w:rPr>
            </w:pPr>
          </w:p>
        </w:tc>
        <w:tc>
          <w:tcPr>
            <w:tcW w:w="90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rPr>
                <w:rFonts w:ascii="黑体" w:hAnsi="黑体" w:eastAsia="黑体" w:cs="黑体"/>
                <w:bCs/>
                <w:szCs w:val="21"/>
              </w:rPr>
            </w:pPr>
          </w:p>
        </w:tc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43</w:t>
            </w:r>
          </w:p>
        </w:tc>
        <w:tc>
          <w:tcPr>
            <w:tcW w:w="45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每万人拥有公共图书馆藏书量协调程度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-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1.50%</w:t>
            </w:r>
          </w:p>
        </w:tc>
      </w:tr>
      <w:tr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312" w:hRule="atLeast"/>
          <w:jc w:val="center"/>
        </w:trPr>
        <w:tc>
          <w:tcPr>
            <w:tcW w:w="705" w:type="dxa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djustRightInd w:val="0"/>
              <w:snapToGrid w:val="0"/>
              <w:rPr>
                <w:rFonts w:ascii="黑体" w:hAnsi="黑体" w:eastAsia="黑体" w:cs="黑体"/>
                <w:bCs/>
              </w:rPr>
            </w:pPr>
          </w:p>
        </w:tc>
        <w:tc>
          <w:tcPr>
            <w:tcW w:w="90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rPr>
                <w:rFonts w:ascii="黑体" w:hAnsi="黑体" w:eastAsia="黑体" w:cs="黑体"/>
                <w:bCs/>
                <w:szCs w:val="21"/>
              </w:rPr>
            </w:pPr>
          </w:p>
        </w:tc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44</w:t>
            </w:r>
          </w:p>
        </w:tc>
        <w:tc>
          <w:tcPr>
            <w:tcW w:w="45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每千人拥有三甲医疗机构床位数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张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1.50%</w:t>
            </w:r>
          </w:p>
        </w:tc>
      </w:tr>
      <w:tr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312" w:hRule="atLeast"/>
          <w:jc w:val="center"/>
        </w:trPr>
        <w:tc>
          <w:tcPr>
            <w:tcW w:w="705" w:type="dxa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djustRightInd w:val="0"/>
              <w:snapToGrid w:val="0"/>
              <w:rPr>
                <w:rFonts w:ascii="黑体" w:hAnsi="黑体" w:eastAsia="黑体" w:cs="黑体"/>
                <w:bCs/>
              </w:rPr>
            </w:pPr>
          </w:p>
        </w:tc>
        <w:tc>
          <w:tcPr>
            <w:tcW w:w="90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rPr>
                <w:rFonts w:ascii="黑体" w:hAnsi="黑体" w:eastAsia="黑体" w:cs="黑体"/>
                <w:bCs/>
                <w:szCs w:val="21"/>
              </w:rPr>
            </w:pPr>
          </w:p>
        </w:tc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45</w:t>
            </w:r>
          </w:p>
        </w:tc>
        <w:tc>
          <w:tcPr>
            <w:tcW w:w="45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参保患者跨省异地就医直接结算额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亿元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1.50%</w:t>
            </w:r>
          </w:p>
        </w:tc>
      </w:tr>
      <w:tr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312" w:hRule="atLeast"/>
          <w:jc w:val="center"/>
        </w:trPr>
        <w:tc>
          <w:tcPr>
            <w:tcW w:w="705" w:type="dxa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djustRightInd w:val="0"/>
              <w:snapToGrid w:val="0"/>
              <w:rPr>
                <w:rFonts w:ascii="黑体" w:hAnsi="黑体" w:eastAsia="黑体" w:cs="黑体"/>
                <w:bCs/>
              </w:rPr>
            </w:pPr>
          </w:p>
        </w:tc>
        <w:tc>
          <w:tcPr>
            <w:tcW w:w="90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黑体" w:hAnsi="黑体" w:eastAsia="黑体" w:cs="黑体"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Cs w:val="21"/>
              </w:rPr>
              <w:t>社会</w:t>
            </w:r>
          </w:p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黑体" w:hAnsi="黑体" w:eastAsia="黑体" w:cs="黑体"/>
                <w:bCs/>
                <w:color w:val="000000"/>
                <w:szCs w:val="21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Cs w:val="21"/>
              </w:rPr>
              <w:t>保障</w:t>
            </w:r>
          </w:p>
        </w:tc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46</w:t>
            </w:r>
          </w:p>
        </w:tc>
        <w:tc>
          <w:tcPr>
            <w:tcW w:w="45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人均一般公共预算支出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万元/人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1.50%</w:t>
            </w:r>
          </w:p>
        </w:tc>
      </w:tr>
      <w:tr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312" w:hRule="atLeast"/>
          <w:jc w:val="center"/>
        </w:trPr>
        <w:tc>
          <w:tcPr>
            <w:tcW w:w="705" w:type="dxa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djustRightInd w:val="0"/>
              <w:snapToGrid w:val="0"/>
              <w:rPr>
                <w:rFonts w:ascii="黑体" w:hAnsi="黑体" w:eastAsia="黑体" w:cs="黑体"/>
                <w:bCs/>
              </w:rPr>
            </w:pPr>
          </w:p>
        </w:tc>
        <w:tc>
          <w:tcPr>
            <w:tcW w:w="90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rPr>
                <w:rFonts w:ascii="黑体" w:hAnsi="黑体" w:eastAsia="黑体" w:cs="黑体"/>
                <w:bCs/>
                <w:szCs w:val="21"/>
              </w:rPr>
            </w:pPr>
          </w:p>
        </w:tc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47</w:t>
            </w:r>
          </w:p>
        </w:tc>
        <w:tc>
          <w:tcPr>
            <w:tcW w:w="45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每千名老年人口拥有老年福利机构床位数协调程度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-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1.50%</w:t>
            </w:r>
          </w:p>
        </w:tc>
      </w:tr>
      <w:tr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312" w:hRule="atLeast"/>
          <w:jc w:val="center"/>
        </w:trPr>
        <w:tc>
          <w:tcPr>
            <w:tcW w:w="705" w:type="dxa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djustRightInd w:val="0"/>
              <w:snapToGrid w:val="0"/>
              <w:rPr>
                <w:rFonts w:ascii="黑体" w:hAnsi="黑体" w:eastAsia="黑体" w:cs="黑体"/>
                <w:bCs/>
              </w:rPr>
            </w:pPr>
          </w:p>
        </w:tc>
        <w:tc>
          <w:tcPr>
            <w:tcW w:w="90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黑体" w:hAnsi="黑体" w:eastAsia="黑体" w:cs="黑体"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Cs w:val="21"/>
              </w:rPr>
              <w:t>生活</w:t>
            </w:r>
          </w:p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黑体" w:hAnsi="黑体" w:eastAsia="黑体" w:cs="黑体"/>
                <w:bCs/>
                <w:color w:val="000000"/>
                <w:szCs w:val="21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Cs w:val="21"/>
              </w:rPr>
              <w:t>品质</w:t>
            </w:r>
          </w:p>
        </w:tc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48</w:t>
            </w:r>
          </w:p>
        </w:tc>
        <w:tc>
          <w:tcPr>
            <w:tcW w:w="45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预期寿命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岁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1.50%</w:t>
            </w:r>
          </w:p>
        </w:tc>
      </w:tr>
      <w:tr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312" w:hRule="atLeast"/>
          <w:jc w:val="center"/>
        </w:trPr>
        <w:tc>
          <w:tcPr>
            <w:tcW w:w="705" w:type="dxa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djustRightInd w:val="0"/>
              <w:snapToGrid w:val="0"/>
              <w:rPr>
                <w:rFonts w:ascii="黑体" w:hAnsi="黑体" w:eastAsia="黑体" w:cs="黑体"/>
                <w:bCs/>
              </w:rPr>
            </w:pPr>
          </w:p>
        </w:tc>
        <w:tc>
          <w:tcPr>
            <w:tcW w:w="90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rPr>
                <w:rFonts w:ascii="黑体" w:hAnsi="黑体" w:eastAsia="黑体" w:cs="黑体"/>
                <w:bCs/>
                <w:szCs w:val="21"/>
              </w:rPr>
            </w:pPr>
          </w:p>
        </w:tc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49</w:t>
            </w:r>
          </w:p>
        </w:tc>
        <w:tc>
          <w:tcPr>
            <w:tcW w:w="45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恩格尔系数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hint="eastAsia" w:ascii="宋体" w:cs="宋体"/>
                <w:color w:val="000000"/>
                <w:kern w:val="0"/>
                <w:szCs w:val="21"/>
              </w:rPr>
              <w:t>%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1.50%</w:t>
            </w:r>
          </w:p>
        </w:tc>
      </w:tr>
    </w:tbl>
    <w:p>
      <w:pPr>
        <w:ind w:firstLine="420" w:firstLineChars="200"/>
        <w:rPr>
          <w:rFonts w:ascii="宋体" w:hAnsi="宋体" w:cs="宋体"/>
          <w:szCs w:val="21"/>
        </w:rPr>
      </w:pPr>
      <w:r>
        <w:rPr>
          <w:rFonts w:hint="eastAsia" w:ascii="宋体" w:hAnsi="宋体" w:cs="宋体"/>
          <w:szCs w:val="21"/>
        </w:rPr>
        <w:t>注：协调程度采用变异系数CV（Coefficient of Variation）计算。</w:t>
      </w:r>
    </w:p>
    <w:p>
      <w:pPr>
        <w:spacing w:line="600" w:lineRule="exact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二、测算方法</w:t>
      </w:r>
    </w:p>
    <w:p>
      <w:pPr>
        <w:spacing w:line="6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长三角区域发展指数采用多指标合成测算方法。</w:t>
      </w:r>
    </w:p>
    <w:p>
      <w:pPr>
        <w:spacing w:line="578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第一步：使用以2015年基期数值为100的方法，对三级指标进行标准化处理，得到个体指数。具体处理方法如下：</w:t>
      </w:r>
    </w:p>
    <w:p>
      <w:pPr>
        <w:pStyle w:val="2"/>
        <w:spacing w:line="240" w:lineRule="auto"/>
        <w:rPr>
          <w:rFonts w:cs="仿宋_GB2312"/>
          <w:szCs w:val="32"/>
        </w:rPr>
      </w:pPr>
      <w:r>
        <w:rPr>
          <w:rFonts w:hint="eastAsia" w:cs="仿宋_GB2312"/>
          <w:szCs w:val="32"/>
        </w:rPr>
        <w:t>正向指标标准化处理：</w:t>
      </w:r>
      <m:oMath>
        <m:sSub>
          <m:sSubPr>
            <m:ctrlPr>
              <w:rPr>
                <w:rFonts w:hint="eastAsia" w:ascii="Cambria Math" w:hAnsi="Cambria Math" w:cs="仿宋_GB2312"/>
                <w:i/>
                <w:szCs w:val="32"/>
              </w:rPr>
            </m:ctrlPr>
          </m:sSubPr>
          <m:e>
            <m:r>
              <m:rPr/>
              <w:rPr>
                <w:rFonts w:hint="eastAsia" w:ascii="Cambria Math" w:hAnsi="Cambria Math" w:cs="仿宋_GB2312"/>
                <w:szCs w:val="32"/>
              </w:rPr>
              <m:t>Y</m:t>
            </m:r>
            <m:ctrlPr>
              <w:rPr>
                <w:rFonts w:hint="eastAsia" w:ascii="Cambria Math" w:hAnsi="Cambria Math" w:cs="仿宋_GB2312"/>
                <w:i/>
                <w:szCs w:val="32"/>
              </w:rPr>
            </m:ctrlPr>
          </m:e>
          <m:sub>
            <m:r>
              <m:rPr/>
              <w:rPr>
                <w:rFonts w:hint="eastAsia" w:ascii="Cambria Math" w:hAnsi="Cambria Math" w:cs="仿宋_GB2312"/>
                <w:szCs w:val="32"/>
              </w:rPr>
              <m:t>it</m:t>
            </m:r>
            <m:ctrlPr>
              <w:rPr>
                <w:rFonts w:hint="eastAsia" w:ascii="Cambria Math" w:hAnsi="Cambria Math" w:cs="仿宋_GB2312"/>
                <w:i/>
                <w:szCs w:val="32"/>
              </w:rPr>
            </m:ctrlPr>
          </m:sub>
        </m:sSub>
        <m:r>
          <m:rPr/>
          <w:rPr>
            <w:rFonts w:hint="eastAsia" w:ascii="Cambria Math" w:hAnsi="Cambria Math" w:cs="仿宋_GB2312"/>
            <w:szCs w:val="32"/>
          </w:rPr>
          <m:t>=</m:t>
        </m:r>
        <m:f>
          <m:fPr>
            <m:ctrlPr>
              <w:rPr>
                <w:rFonts w:hint="eastAsia" w:ascii="Cambria Math" w:hAnsi="Cambria Math" w:cs="仿宋_GB2312"/>
                <w:i/>
                <w:szCs w:val="32"/>
              </w:rPr>
            </m:ctrlPr>
          </m:fPr>
          <m:num>
            <m:sSub>
              <m:sSubPr>
                <m:ctrlPr>
                  <w:rPr>
                    <w:rFonts w:hint="eastAsia" w:ascii="Cambria Math" w:hAnsi="Cambria Math" w:cs="仿宋_GB2312"/>
                    <w:i/>
                    <w:szCs w:val="32"/>
                  </w:rPr>
                </m:ctrlPr>
              </m:sSubPr>
              <m:e>
                <m:r>
                  <m:rPr/>
                  <w:rPr>
                    <w:rFonts w:hint="eastAsia" w:ascii="Cambria Math" w:hAnsi="Cambria Math" w:cs="仿宋_GB2312"/>
                    <w:szCs w:val="32"/>
                  </w:rPr>
                  <m:t>X</m:t>
                </m:r>
                <m:ctrlPr>
                  <w:rPr>
                    <w:rFonts w:hint="eastAsia" w:ascii="Cambria Math" w:hAnsi="Cambria Math" w:cs="仿宋_GB2312"/>
                    <w:i/>
                    <w:szCs w:val="32"/>
                  </w:rPr>
                </m:ctrlPr>
              </m:e>
              <m:sub>
                <m:r>
                  <m:rPr/>
                  <w:rPr>
                    <w:rFonts w:hint="eastAsia" w:ascii="Cambria Math" w:hAnsi="Cambria Math" w:cs="仿宋_GB2312"/>
                    <w:szCs w:val="32"/>
                  </w:rPr>
                  <m:t>it</m:t>
                </m:r>
                <m:ctrlPr>
                  <w:rPr>
                    <w:rFonts w:hint="eastAsia" w:ascii="Cambria Math" w:hAnsi="Cambria Math" w:cs="仿宋_GB2312"/>
                    <w:i/>
                    <w:szCs w:val="32"/>
                  </w:rPr>
                </m:ctrlPr>
              </m:sub>
            </m:sSub>
            <m:ctrlPr>
              <w:rPr>
                <w:rFonts w:hint="eastAsia" w:ascii="Cambria Math" w:hAnsi="Cambria Math" w:cs="仿宋_GB2312"/>
                <w:i/>
                <w:szCs w:val="32"/>
              </w:rPr>
            </m:ctrlPr>
          </m:num>
          <m:den>
            <m:sSub>
              <m:sSubPr>
                <m:ctrlPr>
                  <w:rPr>
                    <w:rFonts w:hint="eastAsia" w:ascii="Cambria Math" w:hAnsi="Cambria Math" w:cs="仿宋_GB2312"/>
                    <w:i/>
                    <w:szCs w:val="32"/>
                  </w:rPr>
                </m:ctrlPr>
              </m:sSubPr>
              <m:e>
                <m:r>
                  <m:rPr/>
                  <w:rPr>
                    <w:rFonts w:hint="eastAsia" w:ascii="Cambria Math" w:hAnsi="Cambria Math" w:cs="仿宋_GB2312"/>
                    <w:szCs w:val="32"/>
                  </w:rPr>
                  <m:t>X</m:t>
                </m:r>
                <m:ctrlPr>
                  <w:rPr>
                    <w:rFonts w:hint="eastAsia" w:ascii="Cambria Math" w:hAnsi="Cambria Math" w:cs="仿宋_GB2312"/>
                    <w:i/>
                    <w:szCs w:val="32"/>
                  </w:rPr>
                </m:ctrlPr>
              </m:e>
              <m:sub>
                <m:r>
                  <m:rPr/>
                  <w:rPr>
                    <w:rFonts w:hint="eastAsia" w:ascii="Cambria Math" w:hAnsi="Cambria Math" w:cs="仿宋_GB2312"/>
                    <w:szCs w:val="32"/>
                  </w:rPr>
                  <m:t>i·2015</m:t>
                </m:r>
                <m:ctrlPr>
                  <w:rPr>
                    <w:rFonts w:hint="eastAsia" w:ascii="Cambria Math" w:hAnsi="Cambria Math" w:cs="仿宋_GB2312"/>
                    <w:i/>
                    <w:szCs w:val="32"/>
                  </w:rPr>
                </m:ctrlPr>
              </m:sub>
            </m:sSub>
            <m:ctrlPr>
              <w:rPr>
                <w:rFonts w:hint="eastAsia" w:ascii="Cambria Math" w:hAnsi="Cambria Math" w:cs="仿宋_GB2312"/>
                <w:i/>
                <w:szCs w:val="32"/>
              </w:rPr>
            </m:ctrlPr>
          </m:den>
        </m:f>
        <m:r>
          <m:rPr/>
          <w:rPr>
            <w:rFonts w:hint="eastAsia" w:ascii="Cambria Math" w:hAnsi="Cambria Math" w:cs="仿宋_GB2312"/>
            <w:szCs w:val="32"/>
          </w:rPr>
          <m:t>×</m:t>
        </m:r>
        <m:r>
          <m:rPr>
            <m:sty m:val="p"/>
          </m:rPr>
          <w:rPr>
            <w:rFonts w:hint="eastAsia" w:ascii="Cambria Math" w:hAnsi="Cambria Math" w:cs="仿宋_GB2312"/>
            <w:szCs w:val="32"/>
          </w:rPr>
          <m:t>100</m:t>
        </m:r>
      </m:oMath>
    </w:p>
    <w:p>
      <w:pPr>
        <w:pStyle w:val="2"/>
        <w:snapToGrid w:val="0"/>
        <w:spacing w:line="240" w:lineRule="auto"/>
      </w:pPr>
      <w:r>
        <w:rPr>
          <w:rFonts w:hint="eastAsia" w:cs="仿宋_GB2312"/>
          <w:szCs w:val="32"/>
        </w:rPr>
        <w:t>逆向指标标准化处理：</w:t>
      </w:r>
      <m:oMath>
        <m:sSub>
          <m:sSubPr>
            <m:ctrlPr>
              <w:rPr>
                <w:rFonts w:ascii="Cambria Math" w:hAnsi="Cambria Math" w:cs="仿宋_GB2312"/>
                <w:i/>
                <w:szCs w:val="32"/>
              </w:rPr>
            </m:ctrlPr>
          </m:sSubPr>
          <m:e>
            <m:r>
              <m:rPr/>
              <w:rPr>
                <w:rFonts w:ascii="Cambria Math" w:hAnsi="Cambria Math" w:cs="仿宋_GB2312"/>
                <w:szCs w:val="32"/>
              </w:rPr>
              <m:t>Y</m:t>
            </m:r>
            <m:ctrlPr>
              <w:rPr>
                <w:rFonts w:ascii="Cambria Math" w:hAnsi="Cambria Math" w:cs="仿宋_GB2312"/>
                <w:i/>
                <w:szCs w:val="32"/>
              </w:rPr>
            </m:ctrlPr>
          </m:e>
          <m:sub>
            <m:r>
              <m:rPr/>
              <w:rPr>
                <w:rFonts w:ascii="Cambria Math" w:hAnsi="Cambria Math" w:cs="仿宋_GB2312"/>
                <w:szCs w:val="32"/>
              </w:rPr>
              <m:t>it</m:t>
            </m:r>
            <m:ctrlPr>
              <w:rPr>
                <w:rFonts w:ascii="Cambria Math" w:hAnsi="Cambria Math" w:cs="仿宋_GB2312"/>
                <w:i/>
                <w:szCs w:val="32"/>
              </w:rPr>
            </m:ctrlPr>
          </m:sub>
        </m:sSub>
        <m:r>
          <m:rPr/>
          <w:rPr>
            <w:rFonts w:ascii="Cambria Math" w:hAnsi="Cambria Math" w:cs="仿宋_GB2312"/>
            <w:szCs w:val="32"/>
          </w:rPr>
          <m:t>=</m:t>
        </m:r>
        <m:f>
          <m:fPr>
            <m:ctrlPr>
              <w:rPr>
                <w:rFonts w:ascii="Cambria Math" w:hAnsi="Cambria Math" w:cs="仿宋_GB2312"/>
                <w:i/>
                <w:szCs w:val="32"/>
              </w:rPr>
            </m:ctrlPr>
          </m:fPr>
          <m:num>
            <m:sSub>
              <m:sSubPr>
                <m:ctrlPr>
                  <w:rPr>
                    <w:rFonts w:ascii="Cambria Math" w:hAnsi="Cambria Math" w:cs="仿宋_GB2312"/>
                    <w:i/>
                    <w:szCs w:val="32"/>
                  </w:rPr>
                </m:ctrlPr>
              </m:sSubPr>
              <m:e>
                <m:r>
                  <m:rPr/>
                  <w:rPr>
                    <w:rFonts w:ascii="Cambria Math" w:hAnsi="Cambria Math" w:cs="仿宋_GB2312"/>
                    <w:szCs w:val="32"/>
                  </w:rPr>
                  <m:t>X</m:t>
                </m:r>
                <m:ctrlPr>
                  <w:rPr>
                    <w:rFonts w:ascii="Cambria Math" w:hAnsi="Cambria Math" w:cs="仿宋_GB2312"/>
                    <w:i/>
                    <w:szCs w:val="32"/>
                  </w:rPr>
                </m:ctrlPr>
              </m:e>
              <m:sub>
                <m:r>
                  <m:rPr/>
                  <w:rPr>
                    <w:rFonts w:ascii="Cambria Math" w:hAnsi="Cambria Math" w:cs="仿宋_GB2312"/>
                    <w:szCs w:val="32"/>
                  </w:rPr>
                  <m:t>i·2015</m:t>
                </m:r>
                <m:ctrlPr>
                  <w:rPr>
                    <w:rFonts w:ascii="Cambria Math" w:hAnsi="Cambria Math" w:cs="仿宋_GB2312"/>
                    <w:i/>
                    <w:szCs w:val="32"/>
                  </w:rPr>
                </m:ctrlPr>
              </m:sub>
            </m:sSub>
            <m:ctrlPr>
              <w:rPr>
                <w:rFonts w:ascii="Cambria Math" w:hAnsi="Cambria Math" w:cs="仿宋_GB2312"/>
                <w:i/>
                <w:szCs w:val="32"/>
              </w:rPr>
            </m:ctrlPr>
          </m:num>
          <m:den>
            <m:sSub>
              <m:sSubPr>
                <m:ctrlPr>
                  <w:rPr>
                    <w:rFonts w:ascii="Cambria Math" w:hAnsi="Cambria Math" w:cs="仿宋_GB2312"/>
                    <w:i/>
                    <w:szCs w:val="32"/>
                  </w:rPr>
                </m:ctrlPr>
              </m:sSubPr>
              <m:e>
                <m:r>
                  <m:rPr/>
                  <w:rPr>
                    <w:rFonts w:ascii="Cambria Math" w:hAnsi="Cambria Math" w:cs="仿宋_GB2312"/>
                    <w:szCs w:val="32"/>
                  </w:rPr>
                  <m:t>X</m:t>
                </m:r>
                <m:ctrlPr>
                  <w:rPr>
                    <w:rFonts w:ascii="Cambria Math" w:hAnsi="Cambria Math" w:cs="仿宋_GB2312"/>
                    <w:i/>
                    <w:szCs w:val="32"/>
                  </w:rPr>
                </m:ctrlPr>
              </m:e>
              <m:sub>
                <m:r>
                  <m:rPr/>
                  <w:rPr>
                    <w:rFonts w:ascii="Cambria Math" w:hAnsi="Cambria Math" w:cs="仿宋_GB2312"/>
                    <w:szCs w:val="32"/>
                  </w:rPr>
                  <m:t>it</m:t>
                </m:r>
                <m:ctrlPr>
                  <w:rPr>
                    <w:rFonts w:ascii="Cambria Math" w:hAnsi="Cambria Math" w:cs="仿宋_GB2312"/>
                    <w:i/>
                    <w:szCs w:val="32"/>
                  </w:rPr>
                </m:ctrlPr>
              </m:sub>
            </m:sSub>
            <m:ctrlPr>
              <w:rPr>
                <w:rFonts w:ascii="Cambria Math" w:hAnsi="Cambria Math" w:cs="仿宋_GB2312"/>
                <w:i/>
                <w:szCs w:val="32"/>
              </w:rPr>
            </m:ctrlPr>
          </m:den>
        </m:f>
        <m:r>
          <m:rPr/>
          <w:rPr>
            <w:rFonts w:hint="eastAsia" w:ascii="Cambria Math" w:hAnsi="Cambria Math" w:cs="仿宋_GB2312"/>
            <w:szCs w:val="32"/>
          </w:rPr>
          <m:t>×</m:t>
        </m:r>
        <m:r>
          <m:rPr>
            <m:sty m:val="p"/>
          </m:rPr>
          <w:rPr>
            <w:rFonts w:ascii="Cambria Math" w:hAnsi="Cambria Math" w:cs="仿宋_GB2312"/>
            <w:szCs w:val="32"/>
          </w:rPr>
          <m:t>100</m:t>
        </m:r>
      </m:oMath>
    </w:p>
    <w:p>
      <w:pPr>
        <w:spacing w:line="6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第二步：采取专家赋权法和等权重法相结合的方式赋权。一级指标中，“示范引领”权重为40%，其余五个一级指标权重均为12%；一级指标下的所有三级指标按等权重赋权。</w:t>
      </w:r>
    </w:p>
    <w:p>
      <w:pPr>
        <w:spacing w:line="6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第三步：指数合成。对三级指标个体指数进行加权汇总，得到一级指标分项指数，计算公式为：</w:t>
      </w:r>
      <m:oMath>
        <m:sSub>
          <m:sSubPr>
            <m:ctrlPr>
              <w:rPr>
                <w:rFonts w:hint="eastAsia" w:ascii="Cambria Math" w:hAnsi="Cambria Math" w:cs="仿宋_GB2312"/>
                <w:i/>
                <w:sz w:val="32"/>
                <w:szCs w:val="32"/>
              </w:rPr>
            </m:ctrlPr>
          </m:sSubPr>
          <m:e>
            <m:r>
              <m:rPr/>
              <w:rPr>
                <w:rFonts w:hint="eastAsia" w:ascii="Cambria Math" w:hAnsi="Cambria Math" w:cs="仿宋_GB2312"/>
                <w:sz w:val="32"/>
                <w:szCs w:val="32"/>
              </w:rPr>
              <m:t>S</m:t>
            </m:r>
            <m:ctrlPr>
              <w:rPr>
                <w:rFonts w:hint="eastAsia" w:ascii="Cambria Math" w:hAnsi="Cambria Math" w:cs="仿宋_GB2312"/>
                <w:i/>
                <w:sz w:val="32"/>
                <w:szCs w:val="32"/>
              </w:rPr>
            </m:ctrlPr>
          </m:e>
          <m:sub>
            <m:r>
              <m:rPr/>
              <w:rPr>
                <w:rFonts w:hint="eastAsia" w:ascii="Cambria Math" w:hAnsi="Cambria Math" w:cs="仿宋_GB2312"/>
                <w:sz w:val="32"/>
                <w:szCs w:val="32"/>
              </w:rPr>
              <m:t>t</m:t>
            </m:r>
            <m:ctrlPr>
              <w:rPr>
                <w:rFonts w:hint="eastAsia" w:ascii="Cambria Math" w:hAnsi="Cambria Math" w:cs="仿宋_GB2312"/>
                <w:i/>
                <w:sz w:val="32"/>
                <w:szCs w:val="32"/>
              </w:rPr>
            </m:ctrlPr>
          </m:sub>
        </m:sSub>
        <m:r>
          <m:rPr/>
          <w:rPr>
            <w:rFonts w:hint="eastAsia" w:ascii="Cambria Math" w:hAnsi="Cambria Math" w:cs="仿宋_GB2312"/>
            <w:sz w:val="32"/>
            <w:szCs w:val="32"/>
          </w:rPr>
          <m:t>=</m:t>
        </m:r>
        <m:nary>
          <m:naryPr>
            <m:chr m:val="∑"/>
            <m:limLoc m:val="undOvr"/>
            <m:subHide m:val="1"/>
            <m:supHide m:val="1"/>
            <m:ctrlPr>
              <w:rPr>
                <w:rFonts w:hint="eastAsia" w:ascii="Cambria Math" w:hAnsi="Cambria Math" w:cs="仿宋_GB2312"/>
                <w:i/>
                <w:sz w:val="32"/>
                <w:szCs w:val="32"/>
              </w:rPr>
            </m:ctrlPr>
          </m:naryPr>
          <m:sub>
            <m:ctrlPr>
              <w:rPr>
                <w:rFonts w:hint="eastAsia" w:ascii="Cambria Math" w:hAnsi="Cambria Math" w:cs="仿宋_GB2312"/>
                <w:i/>
                <w:sz w:val="32"/>
                <w:szCs w:val="32"/>
              </w:rPr>
            </m:ctrlPr>
          </m:sub>
          <m:sup>
            <m:ctrlPr>
              <w:rPr>
                <w:rFonts w:hint="eastAsia" w:ascii="Cambria Math" w:hAnsi="Cambria Math" w:cs="仿宋_GB2312"/>
                <w:i/>
                <w:sz w:val="32"/>
                <w:szCs w:val="32"/>
              </w:rPr>
            </m:ctrlPr>
          </m:sup>
          <m:e>
            <m:sSub>
              <m:sSubPr>
                <m:ctrlPr>
                  <w:rPr>
                    <w:rFonts w:hint="eastAsia" w:ascii="Cambria Math" w:hAnsi="Cambria Math" w:cs="仿宋_GB2312"/>
                    <w:i/>
                    <w:sz w:val="32"/>
                    <w:szCs w:val="32"/>
                  </w:rPr>
                </m:ctrlPr>
              </m:sSubPr>
              <m:e>
                <m:r>
                  <m:rPr/>
                  <w:rPr>
                    <w:rFonts w:hint="eastAsia" w:ascii="Cambria Math" w:hAnsi="Cambria Math" w:cs="仿宋_GB2312"/>
                    <w:sz w:val="32"/>
                    <w:szCs w:val="32"/>
                  </w:rPr>
                  <m:t>Y</m:t>
                </m:r>
                <m:ctrlPr>
                  <w:rPr>
                    <w:rFonts w:hint="eastAsia" w:ascii="Cambria Math" w:hAnsi="Cambria Math" w:cs="仿宋_GB2312"/>
                    <w:i/>
                    <w:sz w:val="32"/>
                    <w:szCs w:val="32"/>
                  </w:rPr>
                </m:ctrlPr>
              </m:e>
              <m:sub>
                <m:r>
                  <m:rPr/>
                  <w:rPr>
                    <w:rFonts w:hint="eastAsia" w:ascii="Cambria Math" w:hAnsi="Cambria Math" w:cs="仿宋_GB2312"/>
                    <w:sz w:val="32"/>
                    <w:szCs w:val="32"/>
                  </w:rPr>
                  <m:t>it</m:t>
                </m:r>
                <m:ctrlPr>
                  <w:rPr>
                    <w:rFonts w:hint="eastAsia" w:ascii="Cambria Math" w:hAnsi="Cambria Math" w:cs="仿宋_GB2312"/>
                    <w:i/>
                    <w:sz w:val="32"/>
                    <w:szCs w:val="32"/>
                  </w:rPr>
                </m:ctrlPr>
              </m:sub>
            </m:sSub>
            <m:r>
              <m:rPr/>
              <w:rPr>
                <w:rFonts w:hint="eastAsia" w:ascii="Cambria Math" w:hAnsi="Cambria Math" w:cs="仿宋_GB2312"/>
                <w:sz w:val="32"/>
                <w:szCs w:val="32"/>
              </w:rPr>
              <m:t>×</m:t>
            </m:r>
            <m:sSub>
              <m:sSubPr>
                <m:ctrlPr>
                  <w:rPr>
                    <w:rFonts w:hint="eastAsia" w:ascii="Cambria Math" w:hAnsi="Cambria Math" w:cs="仿宋_GB2312"/>
                    <w:i/>
                    <w:sz w:val="32"/>
                    <w:szCs w:val="32"/>
                  </w:rPr>
                </m:ctrlPr>
              </m:sSubPr>
              <m:e>
                <m:r>
                  <m:rPr/>
                  <w:rPr>
                    <w:rFonts w:hint="eastAsia" w:ascii="Cambria Math" w:hAnsi="Cambria Math" w:cs="仿宋_GB2312"/>
                    <w:sz w:val="32"/>
                    <w:szCs w:val="32"/>
                  </w:rPr>
                  <m:t>w</m:t>
                </m:r>
                <m:ctrlPr>
                  <w:rPr>
                    <w:rFonts w:hint="eastAsia" w:ascii="Cambria Math" w:hAnsi="Cambria Math" w:cs="仿宋_GB2312"/>
                    <w:i/>
                    <w:sz w:val="32"/>
                    <w:szCs w:val="32"/>
                  </w:rPr>
                </m:ctrlPr>
              </m:e>
              <m:sub>
                <m:r>
                  <m:rPr/>
                  <w:rPr>
                    <w:rFonts w:hint="eastAsia" w:ascii="Cambria Math" w:hAnsi="Cambria Math" w:cs="仿宋_GB2312"/>
                    <w:sz w:val="32"/>
                    <w:szCs w:val="32"/>
                  </w:rPr>
                  <m:t>i</m:t>
                </m:r>
                <m:ctrlPr>
                  <w:rPr>
                    <w:rFonts w:hint="eastAsia" w:ascii="Cambria Math" w:hAnsi="Cambria Math" w:cs="仿宋_GB2312"/>
                    <w:i/>
                    <w:sz w:val="32"/>
                    <w:szCs w:val="32"/>
                  </w:rPr>
                </m:ctrlPr>
              </m:sub>
            </m:sSub>
            <m:ctrlPr>
              <w:rPr>
                <w:rFonts w:hint="eastAsia" w:ascii="Cambria Math" w:hAnsi="Cambria Math" w:cs="仿宋_GB2312"/>
                <w:i/>
                <w:sz w:val="32"/>
                <w:szCs w:val="32"/>
              </w:rPr>
            </m:ctrlPr>
          </m:e>
        </m:nary>
        <m:r>
          <m:rPr/>
          <w:rPr>
            <w:rFonts w:hint="eastAsia" w:ascii="Cambria Math" w:hAnsi="Cambria Math" w:cs="仿宋_GB2312"/>
            <w:sz w:val="32"/>
            <w:szCs w:val="32"/>
          </w:rPr>
          <m:t>×</m:t>
        </m:r>
        <m:r>
          <m:rPr>
            <m:sty m:val="p"/>
          </m:rPr>
          <w:rPr>
            <w:rFonts w:hint="eastAsia" w:ascii="Cambria Math" w:hAnsi="Cambria Math" w:cs="仿宋_GB2312"/>
            <w:sz w:val="32"/>
            <w:szCs w:val="32"/>
          </w:rPr>
          <m:t>100</m:t>
        </m:r>
      </m:oMath>
    </w:p>
    <w:p>
      <w:pPr>
        <w:spacing w:line="6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其中，</w:t>
      </w:r>
      <m:oMath>
        <m:sSub>
          <m:sSubPr>
            <m:ctrlPr>
              <w:rPr>
                <w:rFonts w:ascii="Cambria Math" w:hAnsi="Cambria Math" w:cs="仿宋_GB2312"/>
                <w:i/>
                <w:sz w:val="32"/>
                <w:szCs w:val="32"/>
              </w:rPr>
            </m:ctrlPr>
          </m:sSubPr>
          <m:e>
            <m:r>
              <m:rPr/>
              <w:rPr>
                <w:rFonts w:ascii="Cambria Math" w:hAnsi="Cambria Math" w:cs="仿宋_GB2312"/>
                <w:sz w:val="32"/>
                <w:szCs w:val="32"/>
              </w:rPr>
              <m:t>Y</m:t>
            </m:r>
            <m:ctrlPr>
              <w:rPr>
                <w:rFonts w:ascii="Cambria Math" w:hAnsi="Cambria Math" w:cs="仿宋_GB2312"/>
                <w:i/>
                <w:sz w:val="32"/>
                <w:szCs w:val="32"/>
              </w:rPr>
            </m:ctrlPr>
          </m:e>
          <m:sub>
            <m:r>
              <m:rPr/>
              <w:rPr>
                <w:rFonts w:ascii="Cambria Math" w:hAnsi="Cambria Math" w:cs="仿宋_GB2312"/>
                <w:sz w:val="32"/>
                <w:szCs w:val="32"/>
              </w:rPr>
              <m:t>it</m:t>
            </m:r>
            <m:ctrlPr>
              <w:rPr>
                <w:rFonts w:ascii="Cambria Math" w:hAnsi="Cambria Math" w:cs="仿宋_GB2312"/>
                <w:i/>
                <w:sz w:val="32"/>
                <w:szCs w:val="32"/>
              </w:rPr>
            </m:ctrlPr>
          </m:sub>
        </m:sSub>
      </m:oMath>
      <w:r>
        <w:rPr>
          <w:rFonts w:hint="eastAsia" w:ascii="仿宋_GB2312" w:hAnsi="仿宋_GB2312" w:eastAsia="仿宋_GB2312" w:cs="仿宋_GB2312"/>
          <w:sz w:val="32"/>
          <w:szCs w:val="32"/>
        </w:rPr>
        <w:t>为三级指标个体指数，</w:t>
      </w:r>
      <m:oMath>
        <m:sSub>
          <m:sSubPr>
            <m:ctrlPr>
              <w:rPr>
                <w:rFonts w:ascii="Cambria Math" w:hAnsi="Cambria Math" w:cs="仿宋_GB2312"/>
                <w:i/>
                <w:sz w:val="32"/>
                <w:szCs w:val="32"/>
              </w:rPr>
            </m:ctrlPr>
          </m:sSubPr>
          <m:e>
            <m:r>
              <m:rPr/>
              <w:rPr>
                <w:rFonts w:hint="eastAsia" w:ascii="Cambria Math" w:hAnsi="Cambria Math" w:cs="仿宋_GB2312"/>
                <w:sz w:val="32"/>
                <w:szCs w:val="32"/>
              </w:rPr>
              <m:t>w</m:t>
            </m:r>
            <m:ctrlPr>
              <w:rPr>
                <w:rFonts w:ascii="Cambria Math" w:hAnsi="Cambria Math" w:cs="仿宋_GB2312"/>
                <w:i/>
                <w:sz w:val="32"/>
                <w:szCs w:val="32"/>
              </w:rPr>
            </m:ctrlPr>
          </m:e>
          <m:sub>
            <m:r>
              <m:rPr/>
              <w:rPr>
                <w:rFonts w:hint="eastAsia" w:ascii="Cambria Math" w:hAnsi="Cambria Math" w:cs="仿宋_GB2312"/>
                <w:sz w:val="32"/>
                <w:szCs w:val="32"/>
              </w:rPr>
              <m:t>i</m:t>
            </m:r>
            <m:ctrlPr>
              <w:rPr>
                <w:rFonts w:ascii="Cambria Math" w:hAnsi="Cambria Math" w:cs="仿宋_GB2312"/>
                <w:i/>
                <w:sz w:val="32"/>
                <w:szCs w:val="32"/>
              </w:rPr>
            </m:ctrlPr>
          </m:sub>
        </m:sSub>
      </m:oMath>
      <w:r>
        <w:rPr>
          <w:rFonts w:hint="eastAsia" w:hAnsi="DejaVu Math TeX Gyre" w:eastAsia="仿宋_GB2312" w:cs="仿宋_GB2312"/>
          <w:sz w:val="32"/>
          <w:szCs w:val="32"/>
        </w:rPr>
        <w:t>为三级指标权重</w:t>
      </w:r>
      <w:r>
        <w:rPr>
          <w:rFonts w:hint="eastAsia" w:ascii="仿宋_GB2312" w:hAnsi="仿宋_GB2312" w:eastAsia="仿宋_GB2312" w:cs="仿宋_GB2312"/>
          <w:sz w:val="32"/>
          <w:szCs w:val="32"/>
        </w:rPr>
        <w:t>，</w:t>
      </w:r>
      <m:oMath>
        <m:sSub>
          <m:sSubPr>
            <m:ctrlPr>
              <w:rPr>
                <w:rFonts w:ascii="Cambria Math" w:hAnsi="Cambria Math" w:cs="仿宋_GB2312"/>
                <w:i/>
                <w:sz w:val="32"/>
                <w:szCs w:val="32"/>
              </w:rPr>
            </m:ctrlPr>
          </m:sSubPr>
          <m:e>
            <m:r>
              <m:rPr/>
              <w:rPr>
                <w:rFonts w:hint="eastAsia" w:ascii="Cambria Math" w:hAnsi="Cambria Math" w:cs="仿宋_GB2312"/>
                <w:sz w:val="32"/>
                <w:szCs w:val="32"/>
              </w:rPr>
              <m:t>S</m:t>
            </m:r>
            <m:ctrlPr>
              <w:rPr>
                <w:rFonts w:ascii="Cambria Math" w:hAnsi="Cambria Math" w:cs="仿宋_GB2312"/>
                <w:i/>
                <w:sz w:val="32"/>
                <w:szCs w:val="32"/>
              </w:rPr>
            </m:ctrlPr>
          </m:e>
          <m:sub>
            <m:r>
              <m:rPr/>
              <w:rPr>
                <w:rFonts w:hint="eastAsia" w:ascii="Cambria Math" w:hAnsi="Cambria Math" w:cs="仿宋_GB2312"/>
                <w:sz w:val="32"/>
                <w:szCs w:val="32"/>
              </w:rPr>
              <m:t>t</m:t>
            </m:r>
            <m:ctrlPr>
              <w:rPr>
                <w:rFonts w:ascii="Cambria Math" w:hAnsi="Cambria Math" w:cs="仿宋_GB2312"/>
                <w:i/>
                <w:sz w:val="32"/>
                <w:szCs w:val="32"/>
              </w:rPr>
            </m:ctrlPr>
          </m:sub>
        </m:sSub>
      </m:oMath>
      <w:r>
        <w:rPr>
          <w:rFonts w:hint="eastAsia" w:hAnsi="DejaVu Math TeX Gyre" w:eastAsia="仿宋_GB2312" w:cs="仿宋_GB2312"/>
          <w:sz w:val="32"/>
          <w:szCs w:val="32"/>
        </w:rPr>
        <w:t>为第</w:t>
      </w:r>
      <m:oMath>
        <m:r>
          <m:rPr/>
          <w:rPr>
            <w:rFonts w:hint="eastAsia" w:ascii="Cambria Math" w:hAnsi="Cambria Math" w:cs="仿宋_GB2312"/>
            <w:sz w:val="32"/>
            <w:szCs w:val="32"/>
          </w:rPr>
          <m:t>t</m:t>
        </m:r>
      </m:oMath>
      <w:r>
        <w:rPr>
          <w:rFonts w:hint="eastAsia" w:ascii="仿宋_GB2312" w:hAnsi="仿宋_GB2312" w:eastAsia="仿宋_GB2312" w:cs="仿宋_GB2312"/>
          <w:sz w:val="32"/>
          <w:szCs w:val="32"/>
        </w:rPr>
        <w:t>年分项指数。</w:t>
      </w:r>
    </w:p>
    <w:p>
      <w:pPr>
        <w:spacing w:line="6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再对一级指标分项指数进行加权汇总，得到长三角区域发展总指数。</w:t>
      </w:r>
    </w:p>
    <w:p/>
    <w:sectPr>
      <w:headerReference r:id="rId3" w:type="default"/>
      <w:footerReference r:id="rId4" w:type="default"/>
      <w:footerReference r:id="rId5" w:type="even"/>
      <w:pgSz w:w="11906" w:h="16838"/>
      <w:pgMar w:top="1871" w:right="1587" w:bottom="1417" w:left="1587" w:header="851" w:footer="1191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DejaVu Sans">
    <w:altName w:val="DejaVu Sans Mono"/>
    <w:panose1 w:val="020B0603030804020204"/>
    <w:charset w:val="00"/>
    <w:family w:val="auto"/>
    <w:pitch w:val="default"/>
    <w:sig w:usb0="00000000" w:usb1="00000000" w:usb2="0A246029" w:usb3="0400200C" w:csb0="600001FF" w:csb1="DFFF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CESI黑体-GB2312">
    <w:altName w:val="黑体"/>
    <w:panose1 w:val="02000500000000000000"/>
    <w:charset w:val="86"/>
    <w:family w:val="auto"/>
    <w:pitch w:val="default"/>
    <w:sig w:usb0="00000000" w:usb1="00000000" w:usb2="00000012" w:usb3="00000000" w:csb0="0004000F" w:csb1="00000000"/>
  </w:font>
  <w:font w:name="Cambria Math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DejaVu Math TeX Gyre">
    <w:panose1 w:val="02000503000000000000"/>
    <w:charset w:val="00"/>
    <w:family w:val="auto"/>
    <w:pitch w:val="default"/>
    <w:sig w:usb0="A10000EF" w:usb1="4201F9EE" w:usb2="02000000" w:usb3="00000000" w:csb0="60000193" w:csb1="0DD4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DejaVu Sans Mono">
    <w:panose1 w:val="020B0609030804020204"/>
    <w:charset w:val="00"/>
    <w:family w:val="auto"/>
    <w:pitch w:val="default"/>
    <w:sig w:usb0="E00002FF" w:usb1="5000F9FB" w:usb2="00000020" w:usb3="00000000" w:csb0="6000009F" w:csb1="9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right="357" w:firstLine="180" w:firstLineChars="100"/>
    </w:pPr>
    <w: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57785" cy="131445"/>
              <wp:effectExtent l="0" t="0" r="0" b="0"/>
              <wp:wrapNone/>
              <wp:docPr id="2" name="文本框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785" cy="131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7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7" o:spid="_x0000_s1026" o:spt="202" type="#_x0000_t202" style="position:absolute;left:0pt;margin-top:0pt;height:10.35pt;width:4.55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7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4305935</wp:posOffset>
              </wp:positionH>
              <wp:positionV relativeFrom="paragraph">
                <wp:posOffset>-104775</wp:posOffset>
              </wp:positionV>
              <wp:extent cx="727075" cy="131445"/>
              <wp:effectExtent l="0" t="0" r="0" b="0"/>
              <wp:wrapNone/>
              <wp:docPr id="1" name="文本框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7075" cy="131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t xml:space="preserve"> 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6" o:spid="_x0000_s1026" o:spt="202" type="#_x0000_t202" style="position:absolute;left:0pt;margin-left:339.05pt;margin-top:-8.25pt;height:10.35pt;width:57.25pt;mso-position-horizontal-relative:margin;z-index:251659264;mso-width-relative:page;mso-height-relative:page;" filled="f" stroked="f" coordsize="21600,21600" o:gfxdata="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t xml:space="preserve"> 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right="357" w:firstLine="180" w:firstLineChars="100"/>
    </w:pPr>
    <w: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57785" cy="131445"/>
              <wp:effectExtent l="0" t="0" r="0" b="0"/>
              <wp:wrapNone/>
              <wp:docPr id="3" name="文本框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785" cy="131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8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8" o:spid="_x0000_s1026" o:spt="202" type="#_x0000_t202" style="position:absolute;left:0pt;margin-top:0pt;height:10.35pt;width:4.55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8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Q0NTFlYWFiNDFiMjgyYjFlYTZiZTY1NWY3YWYwNTMifQ=="/>
  </w:docVars>
  <w:rsids>
    <w:rsidRoot w:val="5F572D08"/>
    <w:rsid w:val="5F572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公文正文"/>
    <w:basedOn w:val="1"/>
    <w:qFormat/>
    <w:uiPriority w:val="0"/>
    <w:pPr>
      <w:spacing w:line="600" w:lineRule="exact"/>
      <w:ind w:firstLine="640" w:firstLineChars="200"/>
    </w:pPr>
    <w:rPr>
      <w:rFonts w:ascii="仿宋_GB2312" w:hAnsi="仿宋_GB2312" w:eastAsia="仿宋_GB2312"/>
      <w:sz w:val="32"/>
      <w:szCs w:val="24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DejaVu Sans" w:hAnsi="DejaVu Sans"/>
      <w:sz w:val="18"/>
    </w:rPr>
  </w:style>
  <w:style w:type="paragraph" w:customStyle="1" w:styleId="7">
    <w:name w:val="BodyTextIndent2"/>
    <w:basedOn w:val="1"/>
    <w:next w:val="1"/>
    <w:qFormat/>
    <w:uiPriority w:val="0"/>
    <w:pPr>
      <w:suppressAutoHyphens/>
      <w:spacing w:after="120" w:line="480" w:lineRule="auto"/>
      <w:ind w:left="200" w:leftChars="200"/>
      <w:textAlignment w:val="baseline"/>
    </w:pPr>
    <w:rPr>
      <w:color w:val="000000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2023-12-25T03:00:00Z</dcterms:created>
  <dc:creator>ZXJ</dc:creator>
  <cp:lastModifiedBy>ZXJ</cp:lastModifiedBy>
  <dcterms:modified xsi:type="dcterms:W3CDTF">2023-12-25T03:00:33Z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898CDB954BAF452FBF3433E8C911D76F_11</vt:lpwstr>
  </property>
</Properties>
</file>