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0" w:type="auto"/>
        <w:tblInd w:w="0" w:type="dxa"/>
        <w:tblLayout w:type="autofit"/>
        <w:tblCellMar>
          <w:top w:w="0" w:type="dxa"/>
          <w:left w:w="108" w:type="dxa"/>
          <w:bottom w:w="0" w:type="dxa"/>
          <w:right w:w="108" w:type="dxa"/>
        </w:tblCellMar>
      </w:tblPr>
      <w:tblGrid>
        <w:gridCol w:w="9628"/>
      </w:tblGrid>
      <w:tr>
        <w:tblPrEx>
          <w:tblCellMar>
            <w:top w:w="0" w:type="dxa"/>
            <w:left w:w="108" w:type="dxa"/>
            <w:bottom w:w="0" w:type="dxa"/>
            <w:right w:w="108" w:type="dxa"/>
          </w:tblCellMar>
        </w:tblPrEx>
        <w:trPr>
          <w:trHeight w:val="2835" w:hRule="exact"/>
        </w:trPr>
        <w:tc>
          <w:tcPr>
            <w:tcW w:w="9854" w:type="dxa"/>
          </w:tcPr>
          <w:p>
            <w:pPr>
              <w:snapToGrid w:val="0"/>
              <w:jc w:val="center"/>
              <w:rPr>
                <w:rFonts w:ascii="宋体" w:hAnsi="宋体"/>
                <w:color w:val="auto"/>
                <w:sz w:val="32"/>
                <w:szCs w:val="32"/>
              </w:rPr>
            </w:pPr>
          </w:p>
        </w:tc>
      </w:tr>
    </w:tbl>
    <w:p>
      <w:pPr>
        <w:tabs>
          <w:tab w:val="left" w:pos="12960"/>
        </w:tabs>
        <w:snapToGrid w:val="0"/>
        <w:spacing w:line="240" w:lineRule="atLeast"/>
        <w:jc w:val="center"/>
        <w:rPr>
          <w:rFonts w:ascii="宋体" w:hAnsi="宋体"/>
          <w:color w:val="auto"/>
          <w:sz w:val="52"/>
          <w:szCs w:val="52"/>
        </w:rPr>
      </w:pPr>
      <w:r>
        <w:rPr>
          <w:rFonts w:hint="eastAsia" w:ascii="宋体" w:hAnsi="宋体"/>
          <w:color w:val="auto"/>
          <w:sz w:val="84"/>
          <w:szCs w:val="84"/>
        </w:rPr>
        <w:fldChar w:fldCharType="begin"/>
      </w:r>
      <w:r>
        <w:rPr>
          <w:rFonts w:hint="eastAsia" w:ascii="宋体" w:hAnsi="宋体"/>
          <w:color w:val="auto"/>
          <w:sz w:val="84"/>
          <w:szCs w:val="84"/>
        </w:rPr>
        <w:instrText xml:space="preserve"> EQ \o\ac(</w:instrText>
      </w:r>
      <w:r>
        <w:rPr>
          <w:rFonts w:hint="eastAsia" w:ascii="宋体" w:hAnsi="宋体"/>
          <w:color w:val="auto"/>
          <w:position w:val="-16"/>
          <w:sz w:val="127"/>
          <w:szCs w:val="84"/>
        </w:rPr>
        <w:instrText xml:space="preserve">○</w:instrText>
      </w:r>
      <w:r>
        <w:rPr>
          <w:rFonts w:hint="eastAsia" w:ascii="宋体" w:hAnsi="宋体"/>
          <w:color w:val="auto"/>
          <w:sz w:val="84"/>
          <w:szCs w:val="84"/>
        </w:rPr>
        <w:instrText xml:space="preserve">,W)</w:instrText>
      </w:r>
      <w:r>
        <w:rPr>
          <w:rFonts w:hint="eastAsia" w:ascii="宋体" w:hAnsi="宋体"/>
          <w:color w:val="auto"/>
          <w:sz w:val="84"/>
          <w:szCs w:val="84"/>
        </w:rPr>
        <w:fldChar w:fldCharType="end"/>
      </w:r>
      <w:r>
        <w:rPr>
          <w:rFonts w:hint="eastAsia" w:ascii="宋体" w:hAnsi="宋体"/>
          <w:color w:val="auto"/>
          <w:sz w:val="84"/>
          <w:szCs w:val="84"/>
        </w:rPr>
        <w:t>公众生态环境满意度调查制度</w:t>
      </w:r>
    </w:p>
    <w:p>
      <w:pPr>
        <w:spacing w:after="240" w:afterLines="100"/>
        <w:jc w:val="center"/>
        <w:rPr>
          <w:rFonts w:ascii="楷体_GB2312" w:hAnsi="楷体" w:eastAsia="楷体_GB2312"/>
          <w:color w:val="auto"/>
          <w:sz w:val="32"/>
          <w:szCs w:val="32"/>
        </w:rPr>
      </w:pPr>
    </w:p>
    <w:p>
      <w:pPr>
        <w:spacing w:after="240" w:afterLines="100"/>
        <w:jc w:val="center"/>
        <w:rPr>
          <w:rFonts w:ascii="楷体_GB2312" w:hAnsi="楷体" w:eastAsia="楷体_GB2312"/>
          <w:color w:val="auto"/>
          <w:sz w:val="32"/>
          <w:szCs w:val="32"/>
        </w:rPr>
      </w:pPr>
      <w:r>
        <w:rPr>
          <w:rFonts w:hint="eastAsia" w:ascii="楷体_GB2312" w:hAnsi="楷体" w:eastAsia="楷体_GB2312"/>
          <w:color w:val="auto"/>
          <w:sz w:val="32"/>
          <w:szCs w:val="32"/>
        </w:rPr>
        <w:t>（2023年）</w:t>
      </w:r>
    </w:p>
    <w:p>
      <w:pP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 w:hAnsi="楷体" w:eastAsia="楷体"/>
          <w:color w:val="auto"/>
          <w:sz w:val="32"/>
          <w:szCs w:val="32"/>
        </w:rPr>
      </w:pPr>
    </w:p>
    <w:p>
      <w:pPr>
        <w:jc w:val="center"/>
        <w:rPr>
          <w:rFonts w:ascii="楷体_GB2312" w:hAnsi="楷体" w:eastAsia="楷体_GB2312"/>
          <w:color w:val="auto"/>
          <w:sz w:val="32"/>
          <w:szCs w:val="32"/>
        </w:rPr>
      </w:pPr>
      <w:r>
        <w:rPr>
          <w:rFonts w:hint="eastAsia" w:ascii="楷体_GB2312" w:hAnsi="楷体" w:eastAsia="楷体_GB2312"/>
          <w:color w:val="auto"/>
          <w:sz w:val="32"/>
          <w:szCs w:val="32"/>
        </w:rPr>
        <w:t>国家统计局制定</w:t>
      </w:r>
    </w:p>
    <w:p>
      <w:pPr>
        <w:jc w:val="center"/>
        <w:rPr>
          <w:rFonts w:ascii="楷体_GB2312" w:hAnsi="楷体" w:eastAsia="楷体_GB2312"/>
          <w:color w:val="auto"/>
          <w:sz w:val="32"/>
          <w:szCs w:val="32"/>
        </w:rPr>
      </w:pPr>
      <w:r>
        <w:rPr>
          <w:rFonts w:hint="eastAsia" w:ascii="楷体_GB2312" w:hAnsi="楷体" w:eastAsia="楷体_GB2312"/>
          <w:color w:val="auto"/>
          <w:sz w:val="32"/>
          <w:szCs w:val="32"/>
        </w:rPr>
        <w:t>江苏省</w:t>
      </w:r>
      <w:r>
        <w:rPr>
          <w:rFonts w:ascii="楷体_GB2312" w:hAnsi="楷体" w:eastAsia="楷体_GB2312"/>
          <w:color w:val="auto"/>
          <w:sz w:val="32"/>
          <w:szCs w:val="32"/>
        </w:rPr>
        <w:t>统计局</w:t>
      </w:r>
      <w:r>
        <w:rPr>
          <w:rFonts w:hint="eastAsia" w:ascii="楷体_GB2312" w:hAnsi="楷体" w:eastAsia="楷体_GB2312"/>
          <w:color w:val="auto"/>
          <w:sz w:val="32"/>
          <w:szCs w:val="32"/>
        </w:rPr>
        <w:t>补充</w:t>
      </w:r>
      <w:r>
        <w:rPr>
          <w:rFonts w:ascii="楷体_GB2312" w:hAnsi="楷体" w:eastAsia="楷体_GB2312"/>
          <w:color w:val="auto"/>
          <w:sz w:val="32"/>
          <w:szCs w:val="32"/>
        </w:rPr>
        <w:t>、印制</w:t>
      </w:r>
    </w:p>
    <w:p>
      <w:pPr>
        <w:jc w:val="center"/>
        <w:rPr>
          <w:rFonts w:ascii="楷体_GB2312" w:hAnsi="楷体" w:eastAsia="楷体_GB2312"/>
          <w:color w:val="auto"/>
          <w:sz w:val="32"/>
          <w:szCs w:val="32"/>
        </w:rPr>
      </w:pPr>
      <w:r>
        <w:rPr>
          <w:rFonts w:hint="eastAsia" w:ascii="楷体_GB2312" w:hAnsi="楷体" w:eastAsia="楷体_GB2312"/>
          <w:color w:val="auto"/>
          <w:sz w:val="32"/>
          <w:szCs w:val="32"/>
        </w:rPr>
        <w:t>20</w:t>
      </w:r>
      <w:r>
        <w:rPr>
          <w:rFonts w:ascii="楷体_GB2312" w:hAnsi="楷体" w:eastAsia="楷体_GB2312"/>
          <w:color w:val="auto"/>
          <w:sz w:val="32"/>
          <w:szCs w:val="32"/>
        </w:rPr>
        <w:t>2</w:t>
      </w:r>
      <w:r>
        <w:rPr>
          <w:rFonts w:hint="eastAsia" w:ascii="楷体_GB2312" w:hAnsi="楷体" w:eastAsia="楷体_GB2312"/>
          <w:color w:val="auto"/>
          <w:sz w:val="32"/>
          <w:szCs w:val="32"/>
          <w:lang w:val="en-US" w:eastAsia="zh-CN"/>
        </w:rPr>
        <w:t>2</w:t>
      </w:r>
      <w:r>
        <w:rPr>
          <w:rFonts w:hint="eastAsia" w:ascii="楷体_GB2312" w:hAnsi="楷体" w:eastAsia="楷体_GB2312"/>
          <w:color w:val="auto"/>
          <w:sz w:val="32"/>
          <w:szCs w:val="32"/>
        </w:rPr>
        <w:t>年1</w:t>
      </w:r>
      <w:r>
        <w:rPr>
          <w:rFonts w:ascii="楷体_GB2312" w:hAnsi="楷体" w:eastAsia="楷体_GB2312"/>
          <w:color w:val="auto"/>
          <w:sz w:val="32"/>
          <w:szCs w:val="32"/>
        </w:rPr>
        <w:t>1</w:t>
      </w:r>
      <w:r>
        <w:rPr>
          <w:rFonts w:hint="eastAsia" w:ascii="楷体_GB2312" w:hAnsi="楷体" w:eastAsia="楷体_GB2312"/>
          <w:color w:val="auto"/>
          <w:sz w:val="32"/>
          <w:szCs w:val="32"/>
        </w:rPr>
        <w:t>月</w:t>
      </w:r>
    </w:p>
    <w:p>
      <w:pPr>
        <w:jc w:val="center"/>
        <w:rPr>
          <w:rFonts w:ascii="楷体_GB2312" w:hAnsi="宋体" w:eastAsia="楷体_GB2312"/>
          <w:color w:val="auto"/>
          <w:spacing w:val="-8"/>
          <w:sz w:val="32"/>
          <w:szCs w:val="32"/>
        </w:rPr>
      </w:pPr>
    </w:p>
    <w:p>
      <w:pPr>
        <w:spacing w:line="360" w:lineRule="exact"/>
        <w:rPr>
          <w:rFonts w:ascii="楷体_GB2312" w:hAnsi="宋体" w:eastAsia="楷体_GB2312"/>
          <w:color w:val="auto"/>
          <w:spacing w:val="-8"/>
          <w:sz w:val="32"/>
          <w:szCs w:val="32"/>
        </w:rPr>
      </w:pPr>
    </w:p>
    <w:p>
      <w:pPr>
        <w:spacing w:line="360" w:lineRule="exact"/>
        <w:jc w:val="center"/>
        <w:rPr>
          <w:rFonts w:ascii="宋体" w:hAnsi="宋体"/>
          <w:color w:val="auto"/>
          <w:spacing w:val="-8"/>
          <w:sz w:val="32"/>
          <w:szCs w:val="32"/>
        </w:rPr>
      </w:pPr>
    </w:p>
    <w:p>
      <w:pPr>
        <w:spacing w:line="360" w:lineRule="exact"/>
        <w:jc w:val="center"/>
        <w:rPr>
          <w:rFonts w:ascii="宋体" w:hAnsi="宋体"/>
          <w:color w:val="auto"/>
          <w:spacing w:val="-8"/>
          <w:sz w:val="32"/>
          <w:szCs w:val="32"/>
        </w:rPr>
      </w:pPr>
    </w:p>
    <w:p>
      <w:pPr>
        <w:spacing w:line="360" w:lineRule="exact"/>
        <w:jc w:val="center"/>
        <w:rPr>
          <w:rFonts w:ascii="宋体" w:hAnsi="宋体"/>
          <w:color w:val="auto"/>
          <w:spacing w:val="-8"/>
          <w:sz w:val="32"/>
          <w:szCs w:val="32"/>
        </w:rPr>
      </w:pPr>
    </w:p>
    <w:p>
      <w:pPr>
        <w:spacing w:line="360" w:lineRule="exact"/>
        <w:jc w:val="center"/>
        <w:rPr>
          <w:rFonts w:ascii="宋体" w:hAnsi="宋体"/>
          <w:color w:val="auto"/>
          <w:spacing w:val="-8"/>
          <w:sz w:val="32"/>
          <w:szCs w:val="32"/>
        </w:rPr>
      </w:pPr>
      <w:r>
        <w:rPr>
          <w:rFonts w:hint="eastAsia" w:ascii="宋体" w:hAnsi="宋体"/>
          <w:color w:val="auto"/>
          <w:spacing w:val="-8"/>
          <w:sz w:val="32"/>
          <w:szCs w:val="32"/>
        </w:rPr>
        <w:t>本报表制度根据《中华人民共和国统计法》的有关规定制定</w:t>
      </w:r>
    </w:p>
    <w:p>
      <w:pPr>
        <w:spacing w:line="360" w:lineRule="exact"/>
        <w:jc w:val="center"/>
        <w:rPr>
          <w:rFonts w:ascii="宋体" w:hAnsi="宋体"/>
          <w:color w:val="auto"/>
          <w:spacing w:val="-8"/>
          <w:sz w:val="28"/>
          <w:szCs w:val="32"/>
        </w:rPr>
      </w:pPr>
    </w:p>
    <w:p>
      <w:pPr>
        <w:spacing w:line="360" w:lineRule="exact"/>
        <w:ind w:firstLine="528" w:firstLineChars="200"/>
        <w:rPr>
          <w:rFonts w:ascii="宋体" w:hAnsi="宋体"/>
          <w:color w:val="auto"/>
          <w:spacing w:val="-8"/>
          <w:sz w:val="28"/>
        </w:rPr>
      </w:pPr>
    </w:p>
    <w:p>
      <w:pPr>
        <w:spacing w:line="360" w:lineRule="auto"/>
        <w:ind w:firstLine="560" w:firstLineChars="200"/>
        <w:rPr>
          <w:rFonts w:eastAsia="仿宋_GB2312"/>
          <w:bCs/>
          <w:color w:val="auto"/>
          <w:sz w:val="28"/>
        </w:rPr>
      </w:pPr>
      <w:r>
        <w:rPr>
          <w:rFonts w:hint="eastAsia" w:eastAsia="仿宋_GB2312"/>
          <w:bCs/>
          <w:color w:val="auto"/>
          <w:sz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pPr>
        <w:spacing w:line="360" w:lineRule="auto"/>
        <w:ind w:firstLine="562" w:firstLineChars="200"/>
        <w:rPr>
          <w:rFonts w:eastAsia="仿宋_GB2312"/>
          <w:b/>
          <w:bCs/>
          <w:color w:val="auto"/>
          <w:sz w:val="28"/>
        </w:rPr>
      </w:pPr>
    </w:p>
    <w:p>
      <w:pPr>
        <w:spacing w:line="360" w:lineRule="auto"/>
        <w:ind w:firstLine="560" w:firstLineChars="200"/>
        <w:rPr>
          <w:rFonts w:eastAsia="仿宋_GB2312"/>
          <w:b/>
          <w:bCs/>
          <w:color w:val="auto"/>
          <w:sz w:val="28"/>
        </w:rPr>
      </w:pPr>
      <w:r>
        <w:rPr>
          <w:rFonts w:hint="eastAsia" w:eastAsia="仿宋_GB2312"/>
          <w:bCs/>
          <w:color w:val="auto"/>
          <w:sz w:val="28"/>
        </w:rPr>
        <w:t>《中华人民共和国统计法》第九条规定：统计机构和统计人员对在统计工作中知悉的国家秘密、商业秘密和个人信息，应当予以保密。</w:t>
      </w: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360" w:lineRule="exact"/>
        <w:rPr>
          <w:rFonts w:ascii="宋体" w:hAnsi="宋体"/>
          <w:color w:val="auto"/>
          <w:spacing w:val="-8"/>
          <w:sz w:val="28"/>
        </w:rPr>
      </w:pPr>
    </w:p>
    <w:p>
      <w:pPr>
        <w:spacing w:line="440" w:lineRule="exact"/>
        <w:ind w:firstLine="560" w:firstLineChars="200"/>
        <w:jc w:val="left"/>
        <w:rPr>
          <w:rFonts w:ascii="宋体" w:hAnsi="宋体"/>
          <w:b/>
          <w:color w:val="auto"/>
          <w:sz w:val="28"/>
        </w:rPr>
        <w:sectPr>
          <w:pgSz w:w="11906" w:h="16838"/>
          <w:pgMar w:top="1418" w:right="1247" w:bottom="1247" w:left="1247" w:header="851" w:footer="851" w:gutter="0"/>
          <w:pgNumType w:fmt="numberInDash"/>
          <w:cols w:space="720" w:num="1"/>
        </w:sectPr>
      </w:pPr>
      <w:r>
        <w:rPr>
          <w:rFonts w:hint="eastAsia" w:ascii="宋体" w:hAnsi="宋体"/>
          <w:color w:val="auto"/>
          <w:sz w:val="28"/>
        </w:rPr>
        <w:t>本制度由江苏省统计局负责解释</w:t>
      </w:r>
      <w:r>
        <w:rPr>
          <w:rFonts w:hint="eastAsia" w:ascii="宋体" w:hAnsi="宋体"/>
          <w:b/>
          <w:color w:val="auto"/>
          <w:sz w:val="28"/>
        </w:rPr>
        <w:t>。</w:t>
      </w:r>
    </w:p>
    <w:p>
      <w:pPr>
        <w:spacing w:before="960" w:beforeLines="400" w:after="480" w:afterLines="200" w:line="440" w:lineRule="exact"/>
        <w:jc w:val="center"/>
        <w:outlineLvl w:val="0"/>
        <w:rPr>
          <w:rFonts w:ascii="黑体" w:hAnsi="宋体" w:eastAsia="黑体"/>
          <w:color w:val="auto"/>
          <w:sz w:val="32"/>
        </w:rPr>
      </w:pPr>
      <w:r>
        <w:rPr>
          <w:rFonts w:hint="eastAsia" w:ascii="黑体" w:hAnsi="宋体" w:eastAsia="黑体"/>
          <w:color w:val="auto"/>
          <w:sz w:val="32"/>
        </w:rPr>
        <w:t>目    录</w:t>
      </w:r>
    </w:p>
    <w:p>
      <w:pPr>
        <w:rPr>
          <w:color w:val="auto"/>
        </w:rPr>
      </w:pPr>
    </w:p>
    <w:p>
      <w:pPr>
        <w:spacing w:line="400" w:lineRule="exact"/>
        <w:rPr>
          <w:rFonts w:ascii="宋体" w:hAnsi="宋体"/>
          <w:color w:val="auto"/>
        </w:rPr>
      </w:pPr>
      <w:r>
        <w:rPr>
          <w:rFonts w:hint="eastAsia" w:ascii="宋体" w:hAnsi="宋体"/>
          <w:color w:val="auto"/>
        </w:rPr>
        <w:t>一、总说明……………………………………………………………………………………………………  4</w:t>
      </w:r>
    </w:p>
    <w:p>
      <w:pPr>
        <w:spacing w:line="400" w:lineRule="exact"/>
        <w:rPr>
          <w:rFonts w:ascii="宋体" w:hAnsi="宋体"/>
          <w:color w:val="auto"/>
        </w:rPr>
      </w:pPr>
      <w:r>
        <w:rPr>
          <w:rFonts w:hint="eastAsia" w:ascii="宋体" w:hAnsi="宋体"/>
          <w:color w:val="auto"/>
        </w:rPr>
        <w:t>二、报表目录…………………………………………………………………………………………………  6</w:t>
      </w:r>
    </w:p>
    <w:p>
      <w:pPr>
        <w:spacing w:line="400" w:lineRule="exact"/>
        <w:rPr>
          <w:rFonts w:ascii="宋体" w:hAnsi="宋体"/>
          <w:color w:val="auto"/>
        </w:rPr>
      </w:pPr>
      <w:r>
        <w:rPr>
          <w:rFonts w:hint="eastAsia" w:ascii="宋体" w:hAnsi="宋体"/>
          <w:color w:val="auto"/>
        </w:rPr>
        <w:t>三、调查表式</w:t>
      </w:r>
    </w:p>
    <w:p>
      <w:pPr>
        <w:spacing w:line="400" w:lineRule="exact"/>
        <w:ind w:firstLine="420" w:firstLineChars="200"/>
        <w:rPr>
          <w:rFonts w:ascii="宋体" w:hAnsi="宋体"/>
          <w:color w:val="auto"/>
        </w:rPr>
      </w:pPr>
      <w:r>
        <w:rPr>
          <w:rFonts w:hint="eastAsia" w:ascii="宋体" w:hAnsi="宋体"/>
          <w:color w:val="auto"/>
        </w:rPr>
        <w:t>生态环境满意度</w:t>
      </w:r>
      <w:r>
        <w:rPr>
          <w:rFonts w:ascii="宋体" w:hAnsi="宋体"/>
          <w:color w:val="auto"/>
        </w:rPr>
        <w:t>调查</w:t>
      </w:r>
      <w:r>
        <w:rPr>
          <w:rFonts w:hint="eastAsia" w:ascii="宋体" w:hAnsi="宋体"/>
          <w:color w:val="auto"/>
        </w:rPr>
        <w:t>问卷………………………………………………………………………………  7</w:t>
      </w:r>
    </w:p>
    <w:p>
      <w:pPr>
        <w:spacing w:line="400" w:lineRule="exact"/>
        <w:rPr>
          <w:rFonts w:ascii="宋体" w:hAnsi="宋体"/>
          <w:color w:val="auto"/>
        </w:rPr>
      </w:pPr>
      <w:r>
        <w:rPr>
          <w:rFonts w:hint="eastAsia" w:ascii="宋体" w:hAnsi="宋体"/>
          <w:color w:val="auto"/>
        </w:rPr>
        <w:t>四、主要指标解释……………………………………………………………………………………………  9</w:t>
      </w:r>
    </w:p>
    <w:p>
      <w:pPr>
        <w:spacing w:line="400" w:lineRule="exact"/>
        <w:rPr>
          <w:rFonts w:ascii="宋体" w:hAnsi="宋体"/>
          <w:color w:val="auto"/>
        </w:rPr>
      </w:pPr>
      <w:r>
        <w:rPr>
          <w:rFonts w:hint="eastAsia" w:ascii="宋体" w:hAnsi="宋体"/>
          <w:color w:val="auto"/>
        </w:rPr>
        <w:t>五、抽样方案……………………………………………………………………………………  …………  11</w:t>
      </w: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jc w:val="center"/>
        <w:rPr>
          <w:rFonts w:ascii="黑体" w:hAnsi="黑体" w:eastAsia="黑体"/>
          <w:color w:val="auto"/>
          <w:sz w:val="32"/>
        </w:rPr>
      </w:pPr>
      <w:r>
        <w:rPr>
          <w:color w:val="auto"/>
        </w:rPr>
        <w:br w:type="page"/>
      </w:r>
      <w:r>
        <w:rPr>
          <w:rFonts w:hint="eastAsia" w:ascii="黑体" w:hAnsi="黑体" w:eastAsia="黑体"/>
          <w:color w:val="auto"/>
          <w:sz w:val="32"/>
        </w:rPr>
        <w:t>一、总 说 明</w:t>
      </w:r>
    </w:p>
    <w:p>
      <w:pPr>
        <w:snapToGrid w:val="0"/>
        <w:spacing w:line="400" w:lineRule="exact"/>
        <w:ind w:firstLine="420" w:firstLineChars="200"/>
        <w:rPr>
          <w:rFonts w:ascii="宋体" w:hAnsi="宋体"/>
          <w:color w:val="auto"/>
          <w:szCs w:val="21"/>
        </w:rPr>
      </w:pPr>
      <w:r>
        <w:rPr>
          <w:rFonts w:hint="eastAsia" w:ascii="宋体" w:hAnsi="宋体"/>
          <w:color w:val="auto"/>
          <w:szCs w:val="21"/>
        </w:rPr>
        <w:t>（一）调查目的</w:t>
      </w:r>
    </w:p>
    <w:p>
      <w:pPr>
        <w:snapToGrid w:val="0"/>
        <w:spacing w:line="400" w:lineRule="exact"/>
        <w:ind w:firstLine="420" w:firstLineChars="200"/>
        <w:rPr>
          <w:rFonts w:ascii="宋体" w:hAnsi="宋体"/>
          <w:color w:val="auto"/>
          <w:szCs w:val="21"/>
          <w:lang w:val="en"/>
        </w:rPr>
      </w:pPr>
      <w:r>
        <w:rPr>
          <w:rFonts w:hint="eastAsia" w:ascii="宋体" w:hAnsi="宋体"/>
          <w:color w:val="auto"/>
          <w:szCs w:val="21"/>
        </w:rPr>
        <w:t>通过对</w:t>
      </w:r>
      <w:r>
        <w:rPr>
          <w:rFonts w:ascii="宋体" w:hAnsi="宋体"/>
          <w:color w:val="auto"/>
          <w:szCs w:val="21"/>
        </w:rPr>
        <w:t>13</w:t>
      </w:r>
      <w:r>
        <w:rPr>
          <w:rFonts w:hint="eastAsia" w:ascii="宋体" w:hAnsi="宋体"/>
          <w:color w:val="auto"/>
          <w:szCs w:val="21"/>
        </w:rPr>
        <w:t>个</w:t>
      </w:r>
      <w:r>
        <w:rPr>
          <w:rFonts w:ascii="宋体" w:hAnsi="宋体"/>
          <w:color w:val="auto"/>
          <w:szCs w:val="21"/>
        </w:rPr>
        <w:t>设区市</w:t>
      </w:r>
      <w:r>
        <w:rPr>
          <w:rFonts w:hint="eastAsia" w:ascii="宋体" w:hAnsi="宋体"/>
          <w:color w:val="auto"/>
          <w:szCs w:val="21"/>
        </w:rPr>
        <w:t>城乡居民抽样调查，客观了解公众对生态环境各方面的主观满意程度，反映人民群众在生态文明建设方面的获得感，并测算地区生态环境满意度，为污染防治攻坚战成效考核和高质量发展综合绩效评价提供基础数据，依照《中华人民共和国统计法》，制定本制度。</w:t>
      </w:r>
    </w:p>
    <w:p>
      <w:pPr>
        <w:snapToGrid w:val="0"/>
        <w:spacing w:line="400" w:lineRule="exact"/>
        <w:ind w:firstLine="420" w:firstLineChars="200"/>
        <w:rPr>
          <w:rFonts w:ascii="宋体" w:hAnsi="宋体"/>
          <w:color w:val="auto"/>
          <w:szCs w:val="21"/>
        </w:rPr>
      </w:pPr>
      <w:r>
        <w:rPr>
          <w:rFonts w:hint="eastAsia" w:ascii="宋体" w:hAnsi="宋体"/>
          <w:color w:val="auto"/>
          <w:szCs w:val="21"/>
        </w:rPr>
        <w:t>（二）调查对象、方法和内容</w:t>
      </w:r>
    </w:p>
    <w:p>
      <w:pPr>
        <w:snapToGrid w:val="0"/>
        <w:spacing w:line="400" w:lineRule="exact"/>
        <w:ind w:firstLine="420" w:firstLineChars="200"/>
        <w:rPr>
          <w:rFonts w:ascii="宋体" w:hAnsi="宋体"/>
          <w:color w:val="auto"/>
          <w:szCs w:val="21"/>
        </w:rPr>
      </w:pPr>
      <w:r>
        <w:rPr>
          <w:rFonts w:hint="eastAsia" w:ascii="宋体" w:hAnsi="宋体"/>
          <w:color w:val="auto"/>
          <w:szCs w:val="21"/>
        </w:rPr>
        <w:t>1.调查对象</w:t>
      </w:r>
    </w:p>
    <w:p>
      <w:pPr>
        <w:snapToGrid w:val="0"/>
        <w:spacing w:line="400" w:lineRule="exact"/>
        <w:ind w:firstLine="420" w:firstLineChars="200"/>
        <w:rPr>
          <w:rFonts w:ascii="宋体" w:hAnsi="宋体"/>
          <w:color w:val="auto"/>
          <w:szCs w:val="21"/>
        </w:rPr>
      </w:pPr>
      <w:r>
        <w:rPr>
          <w:rFonts w:hint="eastAsia" w:ascii="宋体" w:hAnsi="宋体"/>
          <w:color w:val="auto"/>
          <w:szCs w:val="21"/>
        </w:rPr>
        <w:t>全省13个设区市18-69周岁的城乡常住居民。</w:t>
      </w:r>
    </w:p>
    <w:p>
      <w:pPr>
        <w:snapToGrid w:val="0"/>
        <w:spacing w:line="400" w:lineRule="exact"/>
        <w:ind w:firstLine="420" w:firstLineChars="200"/>
        <w:rPr>
          <w:rFonts w:ascii="宋体" w:hAnsi="宋体"/>
          <w:color w:val="auto"/>
          <w:szCs w:val="21"/>
        </w:rPr>
      </w:pPr>
      <w:r>
        <w:rPr>
          <w:rFonts w:hint="eastAsia" w:ascii="宋体" w:hAnsi="宋体"/>
          <w:color w:val="auto"/>
          <w:szCs w:val="21"/>
        </w:rPr>
        <w:t>2.调查方法</w:t>
      </w:r>
    </w:p>
    <w:p>
      <w:pPr>
        <w:snapToGrid w:val="0"/>
        <w:spacing w:line="400" w:lineRule="exact"/>
        <w:ind w:firstLine="420" w:firstLineChars="200"/>
        <w:rPr>
          <w:rFonts w:ascii="宋体" w:hAnsi="宋体"/>
          <w:color w:val="auto"/>
          <w:szCs w:val="21"/>
        </w:rPr>
      </w:pPr>
      <w:r>
        <w:rPr>
          <w:rFonts w:hint="eastAsia" w:ascii="宋体" w:hAnsi="宋体"/>
          <w:color w:val="auto"/>
          <w:szCs w:val="21"/>
        </w:rPr>
        <w:t>计算机辅助电话调查 （CATI）方法。</w:t>
      </w:r>
    </w:p>
    <w:p>
      <w:pPr>
        <w:snapToGrid w:val="0"/>
        <w:spacing w:line="400" w:lineRule="exact"/>
        <w:ind w:firstLine="420" w:firstLineChars="200"/>
        <w:rPr>
          <w:rFonts w:ascii="宋体" w:hAnsi="宋体"/>
          <w:color w:val="auto"/>
          <w:szCs w:val="21"/>
        </w:rPr>
      </w:pPr>
      <w:r>
        <w:rPr>
          <w:rFonts w:hint="eastAsia" w:ascii="宋体" w:hAnsi="宋体"/>
          <w:color w:val="auto"/>
          <w:szCs w:val="21"/>
        </w:rPr>
        <w:t>3.调查内容</w:t>
      </w:r>
    </w:p>
    <w:p>
      <w:pPr>
        <w:snapToGrid w:val="0"/>
        <w:spacing w:line="400" w:lineRule="exact"/>
        <w:ind w:firstLine="420" w:firstLineChars="200"/>
        <w:rPr>
          <w:rFonts w:ascii="宋体" w:hAnsi="宋体"/>
          <w:color w:val="auto"/>
          <w:szCs w:val="21"/>
        </w:rPr>
      </w:pPr>
      <w:r>
        <w:rPr>
          <w:rFonts w:hint="eastAsia" w:ascii="宋体" w:hAnsi="宋体"/>
          <w:color w:val="auto"/>
          <w:szCs w:val="21"/>
        </w:rPr>
        <w:t>调查综合反映公众对本地区生态环境各方面以及生态文明建设情况的评价，重点了解居民对本地区自然环境、人居环境以及污染防治情况的判断，全面把握公众对本地区生态环境总体状况以及改善情况的满意程度。调查内容详见“生态环境满意度调查问卷”。</w:t>
      </w:r>
    </w:p>
    <w:p>
      <w:pPr>
        <w:snapToGrid w:val="0"/>
        <w:spacing w:line="400" w:lineRule="exact"/>
        <w:ind w:firstLine="420" w:firstLineChars="200"/>
        <w:rPr>
          <w:rFonts w:ascii="宋体" w:hAnsi="宋体"/>
          <w:color w:val="auto"/>
          <w:szCs w:val="21"/>
        </w:rPr>
      </w:pPr>
      <w:r>
        <w:rPr>
          <w:rFonts w:hint="eastAsia" w:ascii="宋体" w:hAnsi="宋体"/>
          <w:color w:val="auto"/>
          <w:szCs w:val="21"/>
        </w:rPr>
        <w:t>（三）抽样方法</w:t>
      </w:r>
    </w:p>
    <w:p>
      <w:pPr>
        <w:snapToGrid w:val="0"/>
        <w:spacing w:line="400" w:lineRule="exact"/>
        <w:ind w:firstLine="420" w:firstLineChars="200"/>
        <w:rPr>
          <w:rFonts w:ascii="宋体" w:hAnsi="宋体"/>
          <w:color w:val="auto"/>
          <w:szCs w:val="21"/>
        </w:rPr>
      </w:pPr>
      <w:r>
        <w:rPr>
          <w:rFonts w:hint="eastAsia" w:ascii="宋体" w:hAnsi="宋体"/>
          <w:color w:val="auto"/>
          <w:szCs w:val="21"/>
        </w:rPr>
        <w:t>调查采取分层二阶段随机尾号抽样方法，即以设区市为子总体，各设区市所辖的县（市）、区局号为抽样框，按照简单随机抽样的方法，抽取一定数量的局号；在抽中局号后，再按照简单随机抽样的方法抽取一定数量的尾号。按市级总体控制抽样精度，在95%的置信度下，抽样误差控制在5%以内，同时考虑各地区人口规模、设计方差、设计效应等因素，兼顾地域分布和主要特征代表性，确定设区市级目标样本量为</w:t>
      </w:r>
      <w:r>
        <w:rPr>
          <w:rFonts w:ascii="宋体" w:hAnsi="宋体"/>
          <w:color w:val="auto"/>
          <w:szCs w:val="21"/>
        </w:rPr>
        <w:t>500</w:t>
      </w:r>
      <w:r>
        <w:rPr>
          <w:rFonts w:hint="eastAsia" w:ascii="宋体" w:hAnsi="宋体"/>
          <w:color w:val="auto"/>
          <w:szCs w:val="21"/>
        </w:rPr>
        <w:t>人，全省合计目标样本量为65</w:t>
      </w:r>
      <w:r>
        <w:rPr>
          <w:rFonts w:ascii="宋体" w:hAnsi="宋体"/>
          <w:color w:val="auto"/>
          <w:szCs w:val="21"/>
        </w:rPr>
        <w:t>00</w:t>
      </w:r>
      <w:r>
        <w:rPr>
          <w:rFonts w:hint="eastAsia" w:ascii="宋体" w:hAnsi="宋体"/>
          <w:color w:val="auto"/>
          <w:szCs w:val="21"/>
        </w:rPr>
        <w:t>人。各设区市按人口比例分配。全省平均的城乡样本量比例为</w:t>
      </w:r>
      <w:r>
        <w:rPr>
          <w:rFonts w:ascii="宋体" w:hAnsi="宋体"/>
          <w:color w:val="auto"/>
          <w:szCs w:val="21"/>
        </w:rPr>
        <w:t>73</w:t>
      </w:r>
      <w:r>
        <w:rPr>
          <w:rFonts w:hint="eastAsia" w:ascii="宋体" w:hAnsi="宋体"/>
          <w:color w:val="auto"/>
          <w:szCs w:val="21"/>
        </w:rPr>
        <w:t>︰</w:t>
      </w:r>
      <w:r>
        <w:rPr>
          <w:rFonts w:ascii="宋体" w:hAnsi="宋体"/>
          <w:color w:val="auto"/>
          <w:szCs w:val="21"/>
        </w:rPr>
        <w:t>27</w:t>
      </w:r>
      <w:r>
        <w:rPr>
          <w:rFonts w:hint="eastAsia" w:ascii="宋体" w:hAnsi="宋体"/>
          <w:color w:val="auto"/>
          <w:szCs w:val="21"/>
        </w:rPr>
        <w:t>左右。抽样方法详见“抽样方案”。</w:t>
      </w:r>
    </w:p>
    <w:p>
      <w:pPr>
        <w:snapToGrid w:val="0"/>
        <w:spacing w:line="400" w:lineRule="exact"/>
        <w:ind w:firstLine="420" w:firstLineChars="200"/>
        <w:rPr>
          <w:rFonts w:ascii="宋体" w:hAnsi="宋体"/>
          <w:color w:val="auto"/>
          <w:szCs w:val="21"/>
        </w:rPr>
      </w:pPr>
      <w:r>
        <w:rPr>
          <w:rFonts w:hint="eastAsia" w:ascii="宋体" w:hAnsi="宋体"/>
          <w:color w:val="auto"/>
          <w:szCs w:val="21"/>
        </w:rPr>
        <w:t>（四）组织实施</w:t>
      </w:r>
    </w:p>
    <w:p>
      <w:pPr>
        <w:snapToGrid w:val="0"/>
        <w:spacing w:line="400" w:lineRule="exact"/>
        <w:ind w:firstLine="420" w:firstLineChars="200"/>
        <w:rPr>
          <w:rFonts w:ascii="宋体" w:hAnsi="宋体"/>
          <w:color w:val="auto"/>
          <w:szCs w:val="21"/>
        </w:rPr>
      </w:pPr>
      <w:r>
        <w:rPr>
          <w:rFonts w:hint="eastAsia" w:ascii="宋体" w:hAnsi="宋体"/>
          <w:color w:val="auto"/>
          <w:szCs w:val="21"/>
        </w:rPr>
        <w:t>江苏省统计局负责调查方案问卷设计、调查培训、组织实施调查、调查质量控制、数据整理汇总、测算分析、调查报告撰写等。</w:t>
      </w:r>
    </w:p>
    <w:p>
      <w:pPr>
        <w:snapToGrid w:val="0"/>
        <w:spacing w:line="400" w:lineRule="exact"/>
        <w:ind w:firstLine="420" w:firstLineChars="200"/>
        <w:rPr>
          <w:rFonts w:ascii="宋体" w:hAnsi="宋体"/>
          <w:color w:val="auto"/>
          <w:szCs w:val="21"/>
        </w:rPr>
      </w:pPr>
      <w:r>
        <w:rPr>
          <w:rFonts w:hint="eastAsia" w:ascii="宋体" w:hAnsi="宋体"/>
          <w:color w:val="auto"/>
          <w:szCs w:val="21"/>
        </w:rPr>
        <w:t>江苏省统计局负责实施调查、人员培训、调查阶段的数据质量控制。</w:t>
      </w:r>
    </w:p>
    <w:p>
      <w:pPr>
        <w:snapToGrid w:val="0"/>
        <w:spacing w:line="400" w:lineRule="exact"/>
        <w:ind w:firstLine="420" w:firstLineChars="200"/>
        <w:rPr>
          <w:rFonts w:ascii="宋体" w:hAnsi="宋体"/>
          <w:color w:val="auto"/>
          <w:szCs w:val="21"/>
        </w:rPr>
      </w:pPr>
      <w:r>
        <w:rPr>
          <w:rFonts w:hint="eastAsia" w:ascii="宋体" w:hAnsi="宋体"/>
          <w:color w:val="auto"/>
          <w:szCs w:val="21"/>
        </w:rPr>
        <w:t>（五）调查频率和时间</w:t>
      </w:r>
    </w:p>
    <w:p>
      <w:pPr>
        <w:snapToGrid w:val="0"/>
        <w:spacing w:line="400" w:lineRule="exact"/>
        <w:ind w:firstLine="420" w:firstLineChars="200"/>
        <w:rPr>
          <w:rFonts w:ascii="宋体" w:hAnsi="宋体"/>
          <w:color w:val="auto"/>
          <w:szCs w:val="21"/>
        </w:rPr>
      </w:pPr>
      <w:r>
        <w:rPr>
          <w:rFonts w:hint="eastAsia" w:ascii="宋体" w:hAnsi="宋体" w:cs="宋体"/>
          <w:color w:val="auto"/>
          <w:kern w:val="0"/>
        </w:rPr>
        <w:t>本调查制度问卷每年调查一次，2023年调查时间为1月。</w:t>
      </w:r>
    </w:p>
    <w:p>
      <w:pPr>
        <w:snapToGrid w:val="0"/>
        <w:spacing w:line="400" w:lineRule="exact"/>
        <w:ind w:firstLine="420" w:firstLineChars="200"/>
        <w:rPr>
          <w:rFonts w:ascii="宋体" w:hAnsi="宋体"/>
          <w:color w:val="auto"/>
          <w:szCs w:val="21"/>
        </w:rPr>
      </w:pPr>
      <w:r>
        <w:rPr>
          <w:rFonts w:hint="eastAsia" w:ascii="宋体" w:hAnsi="宋体"/>
          <w:color w:val="auto"/>
          <w:szCs w:val="21"/>
        </w:rPr>
        <w:t>（六）调查质量控制</w:t>
      </w:r>
    </w:p>
    <w:p>
      <w:pPr>
        <w:snapToGrid w:val="0"/>
        <w:spacing w:line="400" w:lineRule="exact"/>
        <w:ind w:firstLine="420" w:firstLineChars="200"/>
        <w:rPr>
          <w:rFonts w:ascii="宋体" w:hAnsi="宋体"/>
          <w:color w:val="auto"/>
          <w:szCs w:val="21"/>
        </w:rPr>
      </w:pPr>
      <w:r>
        <w:rPr>
          <w:rFonts w:hint="eastAsia" w:ascii="宋体" w:hAnsi="宋体"/>
          <w:color w:val="auto"/>
          <w:szCs w:val="21"/>
        </w:rPr>
        <w:t xml:space="preserve">江苏省统计局负责全面质量管控，高度重视调查工作，严密组织实施，科学规范开展调查。 </w:t>
      </w:r>
    </w:p>
    <w:p>
      <w:pPr>
        <w:snapToGrid w:val="0"/>
        <w:spacing w:line="400" w:lineRule="exact"/>
        <w:ind w:firstLine="420" w:firstLineChars="200"/>
        <w:rPr>
          <w:rFonts w:ascii="宋体" w:hAnsi="宋体"/>
          <w:color w:val="auto"/>
          <w:szCs w:val="21"/>
        </w:rPr>
      </w:pPr>
      <w:r>
        <w:rPr>
          <w:rFonts w:hint="eastAsia" w:ascii="宋体" w:hAnsi="宋体"/>
          <w:color w:val="auto"/>
          <w:szCs w:val="21"/>
        </w:rPr>
        <w:t>1.全过程控制调查质量</w:t>
      </w:r>
    </w:p>
    <w:p>
      <w:pPr>
        <w:snapToGrid w:val="0"/>
        <w:spacing w:line="400" w:lineRule="exact"/>
        <w:ind w:firstLine="420" w:firstLineChars="200"/>
        <w:rPr>
          <w:rFonts w:ascii="宋体" w:hAnsi="宋体"/>
          <w:color w:val="auto"/>
          <w:szCs w:val="21"/>
        </w:rPr>
      </w:pPr>
      <w:r>
        <w:rPr>
          <w:rFonts w:hint="eastAsia" w:ascii="宋体" w:hAnsi="宋体"/>
          <w:color w:val="auto"/>
          <w:szCs w:val="21"/>
        </w:rPr>
        <w:t>一是按要求组织调查培训，严格按照调查方案要求开展调查。二是江苏省统计局将对各地区一定数量的调查录音和数据进行审核。三是江苏省统计局加强调查访问过程中的质量控制和抽查，做好调查数据和录音的复核。</w:t>
      </w:r>
    </w:p>
    <w:p>
      <w:pPr>
        <w:snapToGrid w:val="0"/>
        <w:spacing w:line="400" w:lineRule="exact"/>
        <w:ind w:firstLine="420" w:firstLineChars="200"/>
        <w:rPr>
          <w:rFonts w:ascii="宋体" w:hAnsi="宋体"/>
          <w:color w:val="auto"/>
          <w:szCs w:val="21"/>
        </w:rPr>
      </w:pPr>
      <w:r>
        <w:rPr>
          <w:rFonts w:hint="eastAsia" w:ascii="宋体" w:hAnsi="宋体"/>
          <w:color w:val="auto"/>
          <w:szCs w:val="21"/>
        </w:rPr>
        <w:t>2.全过程严格数据保密</w:t>
      </w:r>
    </w:p>
    <w:p>
      <w:pPr>
        <w:snapToGrid w:val="0"/>
        <w:spacing w:line="400" w:lineRule="exact"/>
        <w:ind w:firstLine="420" w:firstLineChars="200"/>
        <w:rPr>
          <w:rFonts w:ascii="宋体" w:hAnsi="宋体"/>
          <w:color w:val="auto"/>
          <w:szCs w:val="21"/>
        </w:rPr>
      </w:pPr>
      <w:r>
        <w:rPr>
          <w:rFonts w:hint="eastAsia" w:ascii="宋体" w:hAnsi="宋体"/>
          <w:color w:val="auto"/>
          <w:szCs w:val="21"/>
        </w:rPr>
        <w:t>江苏省统计局负责汇总审核调查数据，调查执行、质量控制和数据报送全过程须严格执行《统计法》相关条款的规定，对调查获取的原始数据、调查结论和调查资料等严格保密。</w:t>
      </w:r>
    </w:p>
    <w:p>
      <w:pPr>
        <w:snapToGrid w:val="0"/>
        <w:spacing w:line="400" w:lineRule="exact"/>
        <w:ind w:firstLine="420" w:firstLineChars="200"/>
        <w:rPr>
          <w:rFonts w:ascii="宋体" w:hAnsi="宋体"/>
          <w:color w:val="auto"/>
          <w:szCs w:val="21"/>
        </w:rPr>
      </w:pPr>
      <w:r>
        <w:rPr>
          <w:rFonts w:hint="eastAsia" w:ascii="宋体" w:hAnsi="宋体"/>
          <w:color w:val="auto"/>
          <w:szCs w:val="21"/>
        </w:rPr>
        <w:t>（七）数据使用和共享</w:t>
      </w:r>
    </w:p>
    <w:p>
      <w:pPr>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调查数据和分析报告供江苏省统计局及江苏</w:t>
      </w:r>
      <w:r>
        <w:rPr>
          <w:rFonts w:ascii="宋体" w:hAnsi="宋体" w:cs="宋体"/>
          <w:color w:val="auto"/>
          <w:szCs w:val="21"/>
        </w:rPr>
        <w:t>省委省政府有关部门</w:t>
      </w:r>
      <w:r>
        <w:rPr>
          <w:rFonts w:hint="eastAsia" w:ascii="宋体" w:hAnsi="宋体" w:cs="宋体"/>
          <w:color w:val="auto"/>
          <w:szCs w:val="21"/>
        </w:rPr>
        <w:t>使用。</w:t>
      </w:r>
    </w:p>
    <w:p>
      <w:pPr>
        <w:jc w:val="center"/>
        <w:rPr>
          <w:rFonts w:ascii="宋体" w:hAnsi="宋体"/>
          <w:color w:val="auto"/>
          <w:szCs w:val="21"/>
        </w:rPr>
      </w:pPr>
      <w:r>
        <w:rPr>
          <w:rFonts w:ascii="宋体" w:hAnsi="宋体"/>
          <w:color w:val="auto"/>
          <w:szCs w:val="21"/>
        </w:rPr>
        <w:br w:type="page"/>
      </w:r>
    </w:p>
    <w:p>
      <w:pPr>
        <w:jc w:val="center"/>
        <w:rPr>
          <w:rFonts w:ascii="黑体" w:hAnsi="黑体" w:eastAsia="黑体"/>
          <w:color w:val="auto"/>
          <w:sz w:val="32"/>
        </w:rPr>
      </w:pPr>
      <w:r>
        <w:rPr>
          <w:rFonts w:hint="eastAsia" w:ascii="黑体" w:hAnsi="黑体" w:eastAsia="黑体"/>
          <w:color w:val="auto"/>
          <w:sz w:val="32"/>
        </w:rPr>
        <w:t>二、报表目录</w:t>
      </w:r>
    </w:p>
    <w:p>
      <w:pPr>
        <w:jc w:val="center"/>
        <w:rPr>
          <w:rFonts w:eastAsia="黑体"/>
          <w:color w:val="auto"/>
          <w:sz w:val="32"/>
        </w:rPr>
      </w:pPr>
    </w:p>
    <w:tbl>
      <w:tblPr>
        <w:tblStyle w:val="7"/>
        <w:tblW w:w="9404" w:type="dxa"/>
        <w:jc w:val="center"/>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46"/>
        <w:gridCol w:w="2203"/>
        <w:gridCol w:w="2906"/>
        <w:gridCol w:w="1351"/>
        <w:gridCol w:w="1998"/>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946" w:type="dxa"/>
            <w:tcBorders>
              <w:top w:val="single" w:color="auto" w:sz="8" w:space="0"/>
              <w:left w:val="nil"/>
              <w:bottom w:val="single" w:color="auto" w:sz="4" w:space="0"/>
              <w:right w:val="single" w:color="auto" w:sz="4" w:space="0"/>
            </w:tcBorders>
            <w:vAlign w:val="center"/>
          </w:tcPr>
          <w:p>
            <w:pPr>
              <w:jc w:val="center"/>
              <w:rPr>
                <w:color w:val="auto"/>
                <w:sz w:val="18"/>
              </w:rPr>
            </w:pPr>
            <w:r>
              <w:rPr>
                <w:rFonts w:hint="eastAsia"/>
                <w:color w:val="auto"/>
                <w:sz w:val="18"/>
              </w:rPr>
              <w:t>表</w:t>
            </w:r>
            <w:r>
              <w:rPr>
                <w:color w:val="auto"/>
                <w:sz w:val="18"/>
              </w:rPr>
              <w:t xml:space="preserve"> </w:t>
            </w:r>
            <w:r>
              <w:rPr>
                <w:rFonts w:hint="eastAsia"/>
                <w:color w:val="auto"/>
                <w:sz w:val="18"/>
              </w:rPr>
              <w:t>号</w:t>
            </w:r>
          </w:p>
        </w:tc>
        <w:tc>
          <w:tcPr>
            <w:tcW w:w="2203" w:type="dxa"/>
            <w:tcBorders>
              <w:top w:val="single" w:color="auto" w:sz="8" w:space="0"/>
              <w:left w:val="single" w:color="auto" w:sz="4" w:space="0"/>
              <w:bottom w:val="single" w:color="auto" w:sz="4" w:space="0"/>
              <w:right w:val="single" w:color="auto" w:sz="4" w:space="0"/>
            </w:tcBorders>
            <w:vAlign w:val="center"/>
          </w:tcPr>
          <w:p>
            <w:pPr>
              <w:jc w:val="center"/>
              <w:rPr>
                <w:color w:val="auto"/>
                <w:sz w:val="18"/>
              </w:rPr>
            </w:pPr>
            <w:r>
              <w:rPr>
                <w:rFonts w:hint="eastAsia"/>
                <w:color w:val="auto"/>
                <w:sz w:val="18"/>
              </w:rPr>
              <w:t>表</w:t>
            </w:r>
            <w:r>
              <w:rPr>
                <w:color w:val="auto"/>
                <w:sz w:val="18"/>
              </w:rPr>
              <w:t xml:space="preserve">       </w:t>
            </w:r>
            <w:r>
              <w:rPr>
                <w:rFonts w:hint="eastAsia"/>
                <w:color w:val="auto"/>
                <w:sz w:val="18"/>
              </w:rPr>
              <w:t>名</w:t>
            </w:r>
          </w:p>
        </w:tc>
        <w:tc>
          <w:tcPr>
            <w:tcW w:w="2906" w:type="dxa"/>
            <w:tcBorders>
              <w:top w:val="single" w:color="auto" w:sz="8" w:space="0"/>
              <w:left w:val="single" w:color="auto" w:sz="4" w:space="0"/>
              <w:bottom w:val="single" w:color="auto" w:sz="4" w:space="0"/>
              <w:right w:val="single" w:color="auto" w:sz="4" w:space="0"/>
            </w:tcBorders>
            <w:vAlign w:val="center"/>
          </w:tcPr>
          <w:p>
            <w:pPr>
              <w:jc w:val="center"/>
              <w:rPr>
                <w:color w:val="auto"/>
                <w:sz w:val="18"/>
              </w:rPr>
            </w:pPr>
            <w:r>
              <w:rPr>
                <w:rFonts w:hint="eastAsia"/>
                <w:color w:val="auto"/>
                <w:sz w:val="18"/>
              </w:rPr>
              <w:t>统计范围</w:t>
            </w:r>
          </w:p>
        </w:tc>
        <w:tc>
          <w:tcPr>
            <w:tcW w:w="1351" w:type="dxa"/>
            <w:tcBorders>
              <w:top w:val="single" w:color="auto" w:sz="8" w:space="0"/>
              <w:left w:val="single" w:color="auto" w:sz="4" w:space="0"/>
              <w:bottom w:val="single" w:color="auto" w:sz="4" w:space="0"/>
              <w:right w:val="single" w:color="auto" w:sz="4" w:space="0"/>
            </w:tcBorders>
            <w:vAlign w:val="center"/>
          </w:tcPr>
          <w:p>
            <w:pPr>
              <w:jc w:val="center"/>
              <w:rPr>
                <w:color w:val="auto"/>
                <w:sz w:val="18"/>
              </w:rPr>
            </w:pPr>
            <w:r>
              <w:rPr>
                <w:rFonts w:hint="eastAsia"/>
                <w:color w:val="auto"/>
                <w:sz w:val="18"/>
              </w:rPr>
              <w:t>报送单位</w:t>
            </w:r>
          </w:p>
        </w:tc>
        <w:tc>
          <w:tcPr>
            <w:tcW w:w="1998" w:type="dxa"/>
            <w:tcBorders>
              <w:top w:val="single" w:color="auto" w:sz="8" w:space="0"/>
              <w:left w:val="single" w:color="auto" w:sz="4" w:space="0"/>
              <w:bottom w:val="single" w:color="auto" w:sz="4" w:space="0"/>
              <w:right w:val="nil"/>
            </w:tcBorders>
            <w:vAlign w:val="center"/>
          </w:tcPr>
          <w:p>
            <w:pPr>
              <w:jc w:val="center"/>
              <w:rPr>
                <w:color w:val="auto"/>
                <w:sz w:val="18"/>
              </w:rPr>
            </w:pPr>
            <w:r>
              <w:rPr>
                <w:rFonts w:hint="eastAsia"/>
                <w:color w:val="auto"/>
                <w:sz w:val="18"/>
              </w:rPr>
              <w:t>报送日期</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3" w:hRule="exact"/>
          <w:jc w:val="center"/>
        </w:trPr>
        <w:tc>
          <w:tcPr>
            <w:tcW w:w="946" w:type="dxa"/>
            <w:tcBorders>
              <w:top w:val="single" w:color="auto" w:sz="4" w:space="0"/>
              <w:left w:val="nil"/>
              <w:bottom w:val="single" w:color="auto" w:sz="8" w:space="0"/>
              <w:right w:val="single" w:color="auto" w:sz="4" w:space="0"/>
            </w:tcBorders>
            <w:vAlign w:val="center"/>
          </w:tcPr>
          <w:p>
            <w:pPr>
              <w:spacing w:line="240" w:lineRule="exact"/>
              <w:ind w:left="630" w:hanging="630" w:hangingChars="350"/>
              <w:jc w:val="center"/>
              <w:rPr>
                <w:rFonts w:ascii="宋体" w:hAnsi="宋体"/>
                <w:color w:val="auto"/>
                <w:sz w:val="18"/>
                <w:szCs w:val="18"/>
              </w:rPr>
            </w:pPr>
            <w:r>
              <w:rPr>
                <w:rFonts w:hint="eastAsia" w:ascii="宋体" w:hAnsi="宋体"/>
                <w:color w:val="auto"/>
                <w:sz w:val="18"/>
                <w:szCs w:val="18"/>
              </w:rPr>
              <w:t>W101表</w:t>
            </w:r>
          </w:p>
        </w:tc>
        <w:tc>
          <w:tcPr>
            <w:tcW w:w="2203" w:type="dxa"/>
            <w:tcBorders>
              <w:top w:val="single" w:color="auto" w:sz="4" w:space="0"/>
              <w:left w:val="single" w:color="auto" w:sz="4" w:space="0"/>
              <w:bottom w:val="single" w:color="auto" w:sz="8" w:space="0"/>
              <w:right w:val="single" w:color="auto" w:sz="4" w:space="0"/>
            </w:tcBorders>
            <w:vAlign w:val="center"/>
          </w:tcPr>
          <w:p>
            <w:pPr>
              <w:spacing w:line="240" w:lineRule="exact"/>
              <w:jc w:val="center"/>
              <w:rPr>
                <w:rFonts w:ascii="宋体" w:hAnsi="宋体"/>
                <w:color w:val="auto"/>
                <w:sz w:val="18"/>
                <w:szCs w:val="18"/>
              </w:rPr>
            </w:pPr>
            <w:r>
              <w:rPr>
                <w:rFonts w:hint="eastAsia" w:ascii="宋体" w:hAnsi="宋体"/>
                <w:color w:val="auto"/>
                <w:sz w:val="18"/>
                <w:szCs w:val="18"/>
              </w:rPr>
              <w:t>生态环境满意度</w:t>
            </w:r>
            <w:r>
              <w:rPr>
                <w:rFonts w:ascii="宋体" w:hAnsi="宋体"/>
                <w:color w:val="auto"/>
                <w:sz w:val="18"/>
                <w:szCs w:val="18"/>
              </w:rPr>
              <w:t>调查</w:t>
            </w:r>
            <w:r>
              <w:rPr>
                <w:rFonts w:hint="eastAsia" w:ascii="宋体" w:hAnsi="宋体"/>
                <w:color w:val="auto"/>
                <w:sz w:val="18"/>
                <w:szCs w:val="18"/>
              </w:rPr>
              <w:t>问卷</w:t>
            </w:r>
          </w:p>
        </w:tc>
        <w:tc>
          <w:tcPr>
            <w:tcW w:w="2906" w:type="dxa"/>
            <w:tcBorders>
              <w:top w:val="single" w:color="auto" w:sz="4" w:space="0"/>
              <w:left w:val="single" w:color="auto" w:sz="4" w:space="0"/>
              <w:bottom w:val="single" w:color="auto" w:sz="8" w:space="0"/>
              <w:right w:val="single" w:color="auto" w:sz="4" w:space="0"/>
            </w:tcBorders>
            <w:vAlign w:val="center"/>
          </w:tcPr>
          <w:p>
            <w:pPr>
              <w:spacing w:line="240" w:lineRule="exact"/>
              <w:jc w:val="center"/>
              <w:rPr>
                <w:rFonts w:ascii="宋体" w:hAnsi="宋体"/>
                <w:color w:val="auto"/>
                <w:sz w:val="18"/>
                <w:szCs w:val="18"/>
              </w:rPr>
            </w:pPr>
            <w:r>
              <w:rPr>
                <w:rFonts w:hint="eastAsia" w:ascii="宋体" w:hAnsi="宋体"/>
                <w:color w:val="auto"/>
                <w:sz w:val="18"/>
                <w:szCs w:val="18"/>
              </w:rPr>
              <w:t>全省13个</w:t>
            </w:r>
            <w:r>
              <w:rPr>
                <w:rFonts w:ascii="宋体" w:hAnsi="宋体"/>
                <w:color w:val="auto"/>
                <w:sz w:val="18"/>
                <w:szCs w:val="18"/>
              </w:rPr>
              <w:t>设区市</w:t>
            </w:r>
            <w:r>
              <w:rPr>
                <w:rFonts w:hint="eastAsia" w:ascii="宋体" w:hAnsi="宋体"/>
                <w:color w:val="auto"/>
                <w:sz w:val="18"/>
                <w:szCs w:val="18"/>
              </w:rPr>
              <w:t>1</w:t>
            </w:r>
            <w:r>
              <w:rPr>
                <w:rFonts w:ascii="宋体" w:hAnsi="宋体"/>
                <w:color w:val="auto"/>
                <w:sz w:val="18"/>
                <w:szCs w:val="18"/>
              </w:rPr>
              <w:t>8-69</w:t>
            </w:r>
            <w:r>
              <w:rPr>
                <w:rFonts w:hint="eastAsia" w:ascii="宋体" w:hAnsi="宋体"/>
                <w:color w:val="auto"/>
                <w:sz w:val="18"/>
                <w:szCs w:val="18"/>
              </w:rPr>
              <w:t>周岁的城乡常住居民</w:t>
            </w:r>
          </w:p>
        </w:tc>
        <w:tc>
          <w:tcPr>
            <w:tcW w:w="1351" w:type="dxa"/>
            <w:tcBorders>
              <w:top w:val="single" w:color="auto" w:sz="4" w:space="0"/>
              <w:left w:val="single" w:color="auto" w:sz="4" w:space="0"/>
              <w:bottom w:val="single" w:color="auto" w:sz="8" w:space="0"/>
              <w:right w:val="single" w:color="auto" w:sz="4" w:space="0"/>
            </w:tcBorders>
            <w:vAlign w:val="center"/>
          </w:tcPr>
          <w:p>
            <w:pPr>
              <w:spacing w:line="240" w:lineRule="exact"/>
              <w:jc w:val="center"/>
              <w:rPr>
                <w:rFonts w:ascii="宋体" w:hAnsi="宋体"/>
                <w:color w:val="auto"/>
                <w:sz w:val="18"/>
                <w:szCs w:val="18"/>
              </w:rPr>
            </w:pPr>
            <w:r>
              <w:rPr>
                <w:rFonts w:hint="eastAsia" w:ascii="宋体" w:hAnsi="宋体"/>
                <w:color w:val="auto"/>
                <w:sz w:val="18"/>
                <w:szCs w:val="18"/>
              </w:rPr>
              <w:t>江苏省统计局</w:t>
            </w:r>
          </w:p>
        </w:tc>
        <w:tc>
          <w:tcPr>
            <w:tcW w:w="1998" w:type="dxa"/>
            <w:tcBorders>
              <w:top w:val="single" w:color="auto" w:sz="4" w:space="0"/>
              <w:left w:val="single" w:color="auto" w:sz="4" w:space="0"/>
              <w:bottom w:val="single" w:color="auto" w:sz="8" w:space="0"/>
              <w:right w:val="nil"/>
            </w:tcBorders>
            <w:vAlign w:val="center"/>
          </w:tcPr>
          <w:p>
            <w:pPr>
              <w:spacing w:line="240" w:lineRule="exact"/>
              <w:jc w:val="center"/>
              <w:rPr>
                <w:rFonts w:ascii="宋体" w:hAnsi="宋体"/>
                <w:color w:val="auto"/>
                <w:sz w:val="18"/>
                <w:szCs w:val="18"/>
              </w:rPr>
            </w:pPr>
            <w:r>
              <w:rPr>
                <w:rFonts w:hint="eastAsia" w:ascii="宋体" w:hAnsi="宋体"/>
                <w:color w:val="auto"/>
                <w:sz w:val="18"/>
                <w:szCs w:val="18"/>
              </w:rPr>
              <w:t>20</w:t>
            </w:r>
            <w:r>
              <w:rPr>
                <w:rFonts w:ascii="宋体" w:hAnsi="宋体"/>
                <w:color w:val="auto"/>
                <w:sz w:val="18"/>
                <w:szCs w:val="18"/>
              </w:rPr>
              <w:t>2</w:t>
            </w:r>
            <w:r>
              <w:rPr>
                <w:rFonts w:hint="eastAsia" w:ascii="宋体" w:hAnsi="宋体"/>
                <w:color w:val="auto"/>
                <w:sz w:val="18"/>
                <w:szCs w:val="18"/>
              </w:rPr>
              <w:t>3年</w:t>
            </w:r>
            <w:r>
              <w:rPr>
                <w:rFonts w:ascii="宋体" w:hAnsi="宋体"/>
                <w:color w:val="auto"/>
                <w:sz w:val="18"/>
                <w:szCs w:val="18"/>
              </w:rPr>
              <w:t>8</w:t>
            </w:r>
            <w:r>
              <w:rPr>
                <w:rFonts w:hint="eastAsia" w:ascii="宋体" w:hAnsi="宋体"/>
                <w:color w:val="auto"/>
                <w:sz w:val="18"/>
                <w:szCs w:val="18"/>
              </w:rPr>
              <w:t>月</w:t>
            </w:r>
            <w:r>
              <w:rPr>
                <w:rFonts w:ascii="宋体" w:hAnsi="宋体"/>
                <w:color w:val="auto"/>
                <w:sz w:val="18"/>
                <w:szCs w:val="18"/>
              </w:rPr>
              <w:t>31</w:t>
            </w:r>
            <w:r>
              <w:rPr>
                <w:rFonts w:hint="eastAsia" w:ascii="宋体" w:hAnsi="宋体"/>
                <w:color w:val="auto"/>
                <w:sz w:val="18"/>
                <w:szCs w:val="18"/>
              </w:rPr>
              <w:t>日前；</w:t>
            </w:r>
          </w:p>
        </w:tc>
      </w:tr>
    </w:tbl>
    <w:p>
      <w:pPr>
        <w:rPr>
          <w:color w:val="auto"/>
        </w:rPr>
      </w:pPr>
    </w:p>
    <w:p>
      <w:pPr>
        <w:jc w:val="center"/>
        <w:rPr>
          <w:rFonts w:ascii="黑体" w:hAnsi="宋体" w:eastAsia="黑体" w:cs="黑体"/>
          <w:color w:val="auto"/>
          <w:sz w:val="32"/>
          <w:szCs w:val="32"/>
        </w:rPr>
      </w:pPr>
      <w:r>
        <w:rPr>
          <w:color w:val="auto"/>
        </w:rPr>
        <w:br w:type="page"/>
      </w:r>
      <w:r>
        <w:rPr>
          <w:rFonts w:hint="eastAsia" w:ascii="黑体" w:hAnsi="宋体" w:eastAsia="黑体" w:cs="黑体"/>
          <w:color w:val="auto"/>
          <w:sz w:val="32"/>
          <w:szCs w:val="32"/>
        </w:rPr>
        <w:t>三、调 查 表 式</w:t>
      </w:r>
    </w:p>
    <w:p>
      <w:pPr>
        <w:spacing w:line="400" w:lineRule="exact"/>
        <w:jc w:val="center"/>
        <w:rPr>
          <w:rFonts w:ascii="宋体" w:hAnsi="宋体"/>
          <w:bCs/>
          <w:color w:val="auto"/>
          <w:sz w:val="30"/>
          <w:szCs w:val="30"/>
        </w:rPr>
      </w:pPr>
    </w:p>
    <w:p>
      <w:pPr>
        <w:spacing w:line="400" w:lineRule="exact"/>
        <w:jc w:val="center"/>
        <w:rPr>
          <w:rFonts w:ascii="Calibri Light" w:hAnsi="Calibri Light" w:cs="Calibri Light"/>
          <w:color w:val="auto"/>
          <w:sz w:val="32"/>
          <w:szCs w:val="32"/>
        </w:rPr>
      </w:pPr>
      <w:r>
        <w:rPr>
          <w:rFonts w:hint="eastAsia" w:ascii="宋体" w:hAnsi="宋体"/>
          <w:bCs/>
          <w:color w:val="auto"/>
          <w:sz w:val="30"/>
          <w:szCs w:val="30"/>
        </w:rPr>
        <w:t xml:space="preserve"> </w:t>
      </w:r>
      <w:r>
        <w:rPr>
          <w:rFonts w:hint="eastAsia" w:ascii="Calibri Light" w:hAnsi="Calibri Light" w:cs="Calibri Light"/>
          <w:color w:val="auto"/>
          <w:sz w:val="32"/>
          <w:szCs w:val="32"/>
        </w:rPr>
        <w:t>生态环境满意度调查问卷</w:t>
      </w:r>
    </w:p>
    <w:tbl>
      <w:tblPr>
        <w:tblStyle w:val="7"/>
        <w:tblpPr w:leftFromText="180" w:rightFromText="180" w:vertAnchor="text" w:tblpXSpec="center" w:tblpY="1"/>
        <w:tblOverlap w:val="never"/>
        <w:tblW w:w="9462" w:type="dxa"/>
        <w:jc w:val="center"/>
        <w:tblLayout w:type="fixed"/>
        <w:tblCellMar>
          <w:top w:w="0" w:type="dxa"/>
          <w:left w:w="0" w:type="dxa"/>
          <w:bottom w:w="0" w:type="dxa"/>
          <w:right w:w="0" w:type="dxa"/>
        </w:tblCellMar>
      </w:tblPr>
      <w:tblGrid>
        <w:gridCol w:w="3555"/>
        <w:gridCol w:w="2205"/>
        <w:gridCol w:w="1813"/>
        <w:gridCol w:w="1889"/>
      </w:tblGrid>
      <w:tr>
        <w:tblPrEx>
          <w:tblCellMar>
            <w:top w:w="0" w:type="dxa"/>
            <w:left w:w="0" w:type="dxa"/>
            <w:bottom w:w="0" w:type="dxa"/>
            <w:right w:w="0" w:type="dxa"/>
          </w:tblCellMar>
        </w:tblPrEx>
        <w:trPr>
          <w:jc w:val="center"/>
        </w:trPr>
        <w:tc>
          <w:tcPr>
            <w:tcW w:w="3555" w:type="dxa"/>
            <w:tcMar>
              <w:top w:w="0" w:type="dxa"/>
              <w:left w:w="0" w:type="dxa"/>
              <w:bottom w:w="0" w:type="dxa"/>
              <w:right w:w="0" w:type="dxa"/>
            </w:tcMar>
          </w:tcPr>
          <w:p>
            <w:pPr>
              <w:spacing w:line="240" w:lineRule="exact"/>
              <w:jc w:val="center"/>
              <w:rPr>
                <w:rFonts w:ascii="Calibri Light" w:cs="Calibri Light"/>
                <w:color w:val="auto"/>
                <w:sz w:val="32"/>
                <w:szCs w:val="32"/>
              </w:rPr>
            </w:pPr>
          </w:p>
        </w:tc>
        <w:tc>
          <w:tcPr>
            <w:tcW w:w="2205" w:type="dxa"/>
          </w:tcPr>
          <w:p>
            <w:pPr>
              <w:spacing w:line="240" w:lineRule="exact"/>
              <w:jc w:val="center"/>
              <w:rPr>
                <w:rFonts w:ascii="Calibri Light" w:cs="Calibri Light"/>
                <w:color w:val="auto"/>
                <w:sz w:val="32"/>
                <w:szCs w:val="32"/>
              </w:rPr>
            </w:pPr>
          </w:p>
        </w:tc>
        <w:tc>
          <w:tcPr>
            <w:tcW w:w="1813" w:type="dxa"/>
            <w:vAlign w:val="center"/>
          </w:tcPr>
          <w:p>
            <w:pPr>
              <w:spacing w:line="240" w:lineRule="exact"/>
              <w:jc w:val="right"/>
              <w:rPr>
                <w:rFonts w:ascii="Calibri Light" w:cs="Calibri Light"/>
                <w:color w:val="auto"/>
                <w:sz w:val="32"/>
                <w:szCs w:val="32"/>
              </w:rPr>
            </w:pPr>
            <w:r>
              <w:rPr>
                <w:rFonts w:hint="eastAsia" w:ascii="Calibri Light" w:hAnsi="Calibri Light" w:cs="Calibri Light"/>
                <w:color w:val="auto"/>
                <w:sz w:val="18"/>
                <w:szCs w:val="18"/>
              </w:rPr>
              <w:t>表    号：</w:t>
            </w:r>
          </w:p>
        </w:tc>
        <w:tc>
          <w:tcPr>
            <w:tcW w:w="1889" w:type="dxa"/>
            <w:vAlign w:val="center"/>
          </w:tcPr>
          <w:p>
            <w:pPr>
              <w:spacing w:line="240" w:lineRule="exact"/>
              <w:jc w:val="distribute"/>
              <w:rPr>
                <w:rFonts w:ascii="Calibri Light" w:cs="Calibri Light"/>
                <w:color w:val="auto"/>
                <w:sz w:val="32"/>
                <w:szCs w:val="32"/>
              </w:rPr>
            </w:pPr>
            <w:r>
              <w:rPr>
                <w:rFonts w:hint="eastAsia" w:ascii="宋体" w:hAnsi="宋体"/>
                <w:color w:val="auto"/>
                <w:sz w:val="18"/>
                <w:szCs w:val="18"/>
              </w:rPr>
              <w:t xml:space="preserve">W　１　０　１　 </w:t>
            </w:r>
            <w:r>
              <w:rPr>
                <w:rFonts w:hint="eastAsia" w:ascii="Calibri Light" w:hAnsi="Calibri Light" w:cs="Calibri Light"/>
                <w:color w:val="auto"/>
                <w:sz w:val="18"/>
                <w:szCs w:val="18"/>
              </w:rPr>
              <w:t>表</w:t>
            </w:r>
          </w:p>
        </w:tc>
      </w:tr>
      <w:tr>
        <w:tblPrEx>
          <w:tblCellMar>
            <w:top w:w="0" w:type="dxa"/>
            <w:left w:w="0" w:type="dxa"/>
            <w:bottom w:w="0" w:type="dxa"/>
            <w:right w:w="0" w:type="dxa"/>
          </w:tblCellMar>
        </w:tblPrEx>
        <w:trPr>
          <w:jc w:val="center"/>
        </w:trPr>
        <w:tc>
          <w:tcPr>
            <w:tcW w:w="5760" w:type="dxa"/>
            <w:gridSpan w:val="2"/>
            <w:tcMar>
              <w:top w:w="0" w:type="dxa"/>
              <w:left w:w="0" w:type="dxa"/>
              <w:bottom w:w="0" w:type="dxa"/>
              <w:right w:w="0" w:type="dxa"/>
            </w:tcMar>
            <w:vAlign w:val="bottom"/>
          </w:tcPr>
          <w:p>
            <w:pPr>
              <w:spacing w:line="240" w:lineRule="exact"/>
              <w:rPr>
                <w:rFonts w:ascii="Calibri Light" w:cs="Calibri Light"/>
                <w:color w:val="auto"/>
                <w:sz w:val="32"/>
                <w:szCs w:val="32"/>
              </w:rPr>
            </w:pPr>
          </w:p>
        </w:tc>
        <w:tc>
          <w:tcPr>
            <w:tcW w:w="1813" w:type="dxa"/>
          </w:tcPr>
          <w:p>
            <w:pPr>
              <w:spacing w:line="240" w:lineRule="exact"/>
              <w:jc w:val="right"/>
              <w:rPr>
                <w:rFonts w:ascii="Calibri Light" w:cs="Calibri Light"/>
                <w:color w:val="auto"/>
                <w:sz w:val="32"/>
                <w:szCs w:val="32"/>
              </w:rPr>
            </w:pPr>
            <w:r>
              <w:rPr>
                <w:rFonts w:hint="eastAsia" w:ascii="Calibri Light" w:hAnsi="Calibri Light" w:cs="Calibri Light"/>
                <w:color w:val="auto"/>
                <w:sz w:val="18"/>
                <w:szCs w:val="18"/>
              </w:rPr>
              <w:t>制定机关：</w:t>
            </w:r>
          </w:p>
        </w:tc>
        <w:tc>
          <w:tcPr>
            <w:tcW w:w="1889" w:type="dxa"/>
            <w:vAlign w:val="center"/>
          </w:tcPr>
          <w:p>
            <w:pPr>
              <w:spacing w:line="240" w:lineRule="exact"/>
              <w:jc w:val="distribute"/>
              <w:rPr>
                <w:rFonts w:ascii="Calibri Light" w:hAnsi="Calibri Light" w:cs="Calibri Light"/>
                <w:color w:val="auto"/>
                <w:sz w:val="18"/>
                <w:szCs w:val="18"/>
              </w:rPr>
            </w:pPr>
            <w:r>
              <w:rPr>
                <w:rFonts w:hint="eastAsia" w:ascii="Calibri Light" w:hAnsi="Calibri Light" w:cs="Calibri Light"/>
                <w:color w:val="auto"/>
                <w:sz w:val="18"/>
                <w:szCs w:val="18"/>
              </w:rPr>
              <w:t>国家统计局</w:t>
            </w:r>
          </w:p>
        </w:tc>
      </w:tr>
      <w:tr>
        <w:tblPrEx>
          <w:tblCellMar>
            <w:top w:w="0" w:type="dxa"/>
            <w:left w:w="0" w:type="dxa"/>
            <w:bottom w:w="0" w:type="dxa"/>
            <w:right w:w="0" w:type="dxa"/>
          </w:tblCellMar>
        </w:tblPrEx>
        <w:trPr>
          <w:jc w:val="center"/>
        </w:trPr>
        <w:tc>
          <w:tcPr>
            <w:tcW w:w="5760" w:type="dxa"/>
            <w:gridSpan w:val="2"/>
            <w:tcBorders>
              <w:bottom w:val="nil"/>
            </w:tcBorders>
            <w:tcMar>
              <w:top w:w="0" w:type="dxa"/>
              <w:left w:w="0" w:type="dxa"/>
              <w:bottom w:w="0" w:type="dxa"/>
              <w:right w:w="0" w:type="dxa"/>
            </w:tcMar>
          </w:tcPr>
          <w:p>
            <w:pPr>
              <w:spacing w:line="240" w:lineRule="exact"/>
              <w:rPr>
                <w:rFonts w:ascii="Calibri Light" w:cs="Calibri Light"/>
                <w:color w:val="auto"/>
                <w:sz w:val="32"/>
                <w:szCs w:val="32"/>
              </w:rPr>
            </w:pPr>
          </w:p>
        </w:tc>
        <w:tc>
          <w:tcPr>
            <w:tcW w:w="1813" w:type="dxa"/>
            <w:tcBorders>
              <w:bottom w:val="nil"/>
            </w:tcBorders>
            <w:vAlign w:val="center"/>
          </w:tcPr>
          <w:p>
            <w:pPr>
              <w:spacing w:line="240" w:lineRule="exact"/>
              <w:jc w:val="right"/>
              <w:rPr>
                <w:rFonts w:ascii="Calibri Light" w:cs="Calibri Light"/>
                <w:color w:val="auto"/>
                <w:sz w:val="32"/>
                <w:szCs w:val="32"/>
              </w:rPr>
            </w:pPr>
            <w:r>
              <w:rPr>
                <w:rFonts w:hint="eastAsia" w:ascii="Calibri Light" w:hAnsi="Calibri Light" w:cs="Calibri Light"/>
                <w:color w:val="auto"/>
                <w:sz w:val="18"/>
                <w:szCs w:val="18"/>
              </w:rPr>
              <w:t>文    号：</w:t>
            </w:r>
          </w:p>
        </w:tc>
        <w:tc>
          <w:tcPr>
            <w:tcW w:w="1889" w:type="dxa"/>
            <w:tcBorders>
              <w:bottom w:val="nil"/>
            </w:tcBorders>
            <w:vAlign w:val="center"/>
          </w:tcPr>
          <w:p>
            <w:pPr>
              <w:spacing w:line="240" w:lineRule="exact"/>
              <w:jc w:val="distribute"/>
              <w:rPr>
                <w:rFonts w:ascii="Calibri Light" w:cs="Calibri Light"/>
                <w:color w:val="auto"/>
                <w:sz w:val="32"/>
                <w:szCs w:val="32"/>
                <w:lang w:val="en"/>
              </w:rPr>
            </w:pPr>
            <w:r>
              <w:rPr>
                <w:rFonts w:ascii="宋体" w:hAnsi="宋体"/>
                <w:color w:val="auto"/>
                <w:sz w:val="18"/>
                <w:szCs w:val="18"/>
                <w:lang w:val="en"/>
              </w:rPr>
              <w:t>国统字〔</w:t>
            </w:r>
            <w:r>
              <w:rPr>
                <w:rFonts w:hint="eastAsia" w:ascii="宋体" w:hAnsi="宋体"/>
                <w:color w:val="auto"/>
                <w:sz w:val="18"/>
                <w:szCs w:val="18"/>
              </w:rPr>
              <w:t>2022</w:t>
            </w:r>
            <w:r>
              <w:rPr>
                <w:rFonts w:ascii="宋体" w:hAnsi="宋体"/>
                <w:color w:val="auto"/>
                <w:sz w:val="18"/>
                <w:szCs w:val="18"/>
                <w:lang w:val="en"/>
              </w:rPr>
              <w:t>〕</w:t>
            </w:r>
            <w:r>
              <w:rPr>
                <w:rFonts w:hint="eastAsia" w:ascii="宋体" w:hAnsi="宋体"/>
                <w:color w:val="auto"/>
                <w:sz w:val="18"/>
                <w:szCs w:val="18"/>
              </w:rPr>
              <w:t>90</w:t>
            </w:r>
            <w:r>
              <w:rPr>
                <w:rFonts w:ascii="宋体" w:hAnsi="宋体"/>
                <w:color w:val="auto"/>
                <w:sz w:val="18"/>
                <w:szCs w:val="18"/>
                <w:lang w:val="en"/>
              </w:rPr>
              <w:t xml:space="preserve"> 号</w:t>
            </w:r>
          </w:p>
        </w:tc>
      </w:tr>
      <w:tr>
        <w:tblPrEx>
          <w:tblCellMar>
            <w:top w:w="0" w:type="dxa"/>
            <w:left w:w="0" w:type="dxa"/>
            <w:bottom w:w="0" w:type="dxa"/>
            <w:right w:w="0" w:type="dxa"/>
          </w:tblCellMar>
        </w:tblPrEx>
        <w:trPr>
          <w:jc w:val="center"/>
        </w:trPr>
        <w:tc>
          <w:tcPr>
            <w:tcW w:w="5760" w:type="dxa"/>
            <w:gridSpan w:val="2"/>
            <w:tcBorders>
              <w:top w:val="nil"/>
              <w:left w:val="nil"/>
              <w:bottom w:val="nil"/>
              <w:right w:val="nil"/>
            </w:tcBorders>
            <w:tcMar>
              <w:top w:w="0" w:type="dxa"/>
              <w:left w:w="0" w:type="dxa"/>
              <w:bottom w:w="0" w:type="dxa"/>
              <w:right w:w="0" w:type="dxa"/>
            </w:tcMar>
          </w:tcPr>
          <w:p>
            <w:pPr>
              <w:spacing w:line="240" w:lineRule="exact"/>
              <w:rPr>
                <w:rFonts w:ascii="Calibri Light" w:hAnsi="Calibri Light" w:cs="Calibri Light"/>
                <w:color w:val="auto"/>
                <w:kern w:val="0"/>
                <w:sz w:val="18"/>
                <w:szCs w:val="18"/>
              </w:rPr>
            </w:pPr>
            <w:r>
              <w:rPr>
                <w:rFonts w:hint="eastAsia" w:ascii="Calibri Light" w:hAnsi="Calibri Light" w:cs="Calibri Light"/>
                <w:color w:val="auto"/>
                <w:sz w:val="18"/>
                <w:szCs w:val="18"/>
              </w:rPr>
              <w:t xml:space="preserve">                      　　　　　　             </w:t>
            </w:r>
          </w:p>
        </w:tc>
        <w:tc>
          <w:tcPr>
            <w:tcW w:w="1813" w:type="dxa"/>
            <w:tcBorders>
              <w:top w:val="nil"/>
              <w:left w:val="nil"/>
              <w:bottom w:val="nil"/>
              <w:right w:val="nil"/>
            </w:tcBorders>
            <w:vAlign w:val="center"/>
          </w:tcPr>
          <w:p>
            <w:pPr>
              <w:spacing w:line="240" w:lineRule="exact"/>
              <w:jc w:val="right"/>
              <w:rPr>
                <w:rFonts w:ascii="Calibri Light" w:hAnsi="Calibri Light" w:cs="Calibri Light"/>
                <w:color w:val="auto"/>
                <w:sz w:val="18"/>
                <w:szCs w:val="18"/>
              </w:rPr>
            </w:pPr>
            <w:r>
              <w:rPr>
                <w:rFonts w:hint="eastAsia" w:ascii="Calibri Light" w:hAnsi="Calibri Light" w:cs="Calibri Light"/>
                <w:color w:val="auto"/>
                <w:sz w:val="18"/>
                <w:szCs w:val="18"/>
              </w:rPr>
              <w:t>有效期至：</w:t>
            </w:r>
          </w:p>
        </w:tc>
        <w:tc>
          <w:tcPr>
            <w:tcW w:w="1889" w:type="dxa"/>
            <w:tcBorders>
              <w:top w:val="nil"/>
              <w:left w:val="nil"/>
              <w:bottom w:val="nil"/>
              <w:right w:val="nil"/>
            </w:tcBorders>
            <w:vAlign w:val="center"/>
          </w:tcPr>
          <w:p>
            <w:pPr>
              <w:spacing w:line="240" w:lineRule="exact"/>
              <w:jc w:val="distribute"/>
              <w:rPr>
                <w:rFonts w:ascii="Calibri Light" w:hAnsi="Calibri Light" w:cs="Calibri Light"/>
                <w:color w:val="auto"/>
                <w:sz w:val="18"/>
                <w:szCs w:val="18"/>
              </w:rPr>
            </w:pPr>
            <w:r>
              <w:rPr>
                <w:rFonts w:hint="eastAsia" w:ascii="Calibri Light" w:hAnsi="Calibri Light" w:cs="Calibri Light"/>
                <w:color w:val="auto"/>
                <w:sz w:val="18"/>
                <w:szCs w:val="18"/>
              </w:rPr>
              <w:t>2023</w:t>
            </w:r>
            <w:r>
              <w:rPr>
                <w:rFonts w:ascii="Calibri Light" w:hAnsi="Calibri Light" w:cs="Calibri Light"/>
                <w:color w:val="auto"/>
                <w:sz w:val="18"/>
                <w:szCs w:val="18"/>
              </w:rPr>
              <w:t>年</w:t>
            </w:r>
            <w:r>
              <w:rPr>
                <w:rFonts w:hint="eastAsia" w:ascii="Calibri Light" w:hAnsi="Calibri Light" w:cs="Calibri Light"/>
                <w:color w:val="auto"/>
                <w:sz w:val="18"/>
                <w:szCs w:val="18"/>
              </w:rPr>
              <w:t>９月</w:t>
            </w:r>
          </w:p>
        </w:tc>
      </w:tr>
    </w:tbl>
    <w:p>
      <w:pPr>
        <w:autoSpaceDE w:val="0"/>
        <w:autoSpaceDN w:val="0"/>
        <w:adjustRightInd w:val="0"/>
        <w:snapToGrid w:val="0"/>
        <w:spacing w:line="360" w:lineRule="exact"/>
        <w:ind w:firstLine="420" w:firstLineChars="200"/>
        <w:outlineLvl w:val="0"/>
        <w:rPr>
          <w:rFonts w:ascii="楷体" w:hAnsi="楷体" w:eastAsia="楷体"/>
          <w:color w:val="auto"/>
          <w:kern w:val="0"/>
          <w:szCs w:val="21"/>
        </w:rPr>
      </w:pPr>
      <w:r>
        <w:rPr>
          <w:rFonts w:hint="eastAsia" w:ascii="楷体" w:hAnsi="楷体" w:eastAsia="楷体"/>
          <w:color w:val="auto"/>
          <w:kern w:val="0"/>
          <w:szCs w:val="21"/>
        </w:rPr>
        <w:t>您好，我是江苏省社情民意调查中心的访问员，目前我们正在进行江苏生态环境满意度电话调查，根据随机抽样得到您的号码，耽误您几分钟的时间，请您回答几个问题：</w:t>
      </w:r>
    </w:p>
    <w:p>
      <w:pPr>
        <w:snapToGrid w:val="0"/>
        <w:spacing w:line="360" w:lineRule="exact"/>
        <w:rPr>
          <w:rFonts w:ascii="宋体" w:hAnsi="宋体" w:cs="宋体"/>
          <w:bCs/>
          <w:color w:val="auto"/>
          <w:sz w:val="18"/>
          <w:szCs w:val="18"/>
        </w:rPr>
      </w:pP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第一部分   甄别信息</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S1 请问您是否在当地居住半年以上？            </w:t>
      </w:r>
      <w:r>
        <w:rPr>
          <w:rFonts w:hint="eastAsia" w:ascii="宋体" w:hAnsi="宋体" w:cs="宋体"/>
          <w:bCs/>
          <w:color w:val="auto"/>
          <w:sz w:val="18"/>
          <w:szCs w:val="18"/>
          <w:lang w:val="en"/>
        </w:rPr>
        <w:t>⑴</w:t>
      </w:r>
      <w:r>
        <w:rPr>
          <w:rFonts w:hint="eastAsia" w:ascii="宋体" w:hAnsi="宋体" w:cs="宋体"/>
          <w:bCs/>
          <w:color w:val="auto"/>
          <w:sz w:val="18"/>
          <w:szCs w:val="18"/>
        </w:rPr>
        <w:t xml:space="preserve">是           </w:t>
      </w:r>
      <w:r>
        <w:rPr>
          <w:rFonts w:hint="eastAsia" w:ascii="宋体" w:hAnsi="宋体" w:cs="宋体"/>
          <w:bCs/>
          <w:color w:val="auto"/>
          <w:sz w:val="18"/>
          <w:szCs w:val="18"/>
          <w:lang w:val="en"/>
        </w:rPr>
        <w:t>⑵</w:t>
      </w:r>
      <w:r>
        <w:rPr>
          <w:rFonts w:hint="eastAsia" w:ascii="宋体" w:hAnsi="宋体" w:cs="宋体"/>
          <w:bCs/>
          <w:color w:val="auto"/>
          <w:sz w:val="18"/>
          <w:szCs w:val="18"/>
        </w:rPr>
        <w:t>否&lt;终止访问&gt;</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S2 您的年龄是？   </w:t>
      </w:r>
      <w:r>
        <w:rPr>
          <w:rFonts w:hint="eastAsia" w:ascii="宋体" w:hAnsi="宋体" w:cs="宋体"/>
          <w:bCs/>
          <w:color w:val="auto"/>
          <w:sz w:val="18"/>
          <w:szCs w:val="18"/>
          <w:lang w:val="en"/>
        </w:rPr>
        <w:t>⑴18岁</w:t>
      </w:r>
      <w:r>
        <w:rPr>
          <w:rFonts w:ascii="宋体" w:hAnsi="宋体" w:cs="宋体"/>
          <w:bCs/>
          <w:color w:val="auto"/>
          <w:sz w:val="18"/>
          <w:szCs w:val="18"/>
          <w:lang w:val="en"/>
        </w:rPr>
        <w:t>以下</w:t>
      </w:r>
      <w:r>
        <w:rPr>
          <w:rFonts w:hint="eastAsia" w:ascii="宋体" w:hAnsi="宋体" w:cs="宋体"/>
          <w:bCs/>
          <w:color w:val="auto"/>
          <w:sz w:val="18"/>
          <w:szCs w:val="18"/>
        </w:rPr>
        <w:t>&lt;终止访问&gt;</w:t>
      </w:r>
      <w:r>
        <w:rPr>
          <w:rFonts w:ascii="宋体" w:hAnsi="宋体" w:cs="宋体"/>
          <w:bCs/>
          <w:color w:val="auto"/>
          <w:sz w:val="18"/>
          <w:szCs w:val="18"/>
        </w:rPr>
        <w:t xml:space="preserve">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18-24岁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25-34岁    </w:t>
      </w:r>
      <w:r>
        <w:rPr>
          <w:rFonts w:hint="eastAsia" w:ascii="宋体" w:hAnsi="宋体" w:cs="宋体"/>
          <w:bCs/>
          <w:color w:val="auto"/>
          <w:sz w:val="18"/>
          <w:szCs w:val="18"/>
          <w:lang w:val="en"/>
        </w:rPr>
        <w:t>⑷</w:t>
      </w:r>
      <w:r>
        <w:rPr>
          <w:rFonts w:hint="eastAsia" w:ascii="宋体" w:hAnsi="宋体" w:cs="宋体"/>
          <w:bCs/>
          <w:color w:val="auto"/>
          <w:sz w:val="18"/>
          <w:szCs w:val="18"/>
        </w:rPr>
        <w:t>35-44岁</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 xml:space="preserve">45-54岁    </w:t>
      </w:r>
      <w:r>
        <w:rPr>
          <w:rFonts w:hint="eastAsia" w:ascii="宋体" w:hAnsi="宋体" w:cs="宋体"/>
          <w:bCs/>
          <w:color w:val="auto"/>
          <w:sz w:val="18"/>
          <w:szCs w:val="18"/>
          <w:lang w:val="en"/>
        </w:rPr>
        <w:t>⑹</w:t>
      </w:r>
      <w:r>
        <w:rPr>
          <w:rFonts w:hint="eastAsia" w:ascii="宋体" w:hAnsi="宋体" w:cs="宋体"/>
          <w:bCs/>
          <w:color w:val="auto"/>
          <w:sz w:val="18"/>
          <w:szCs w:val="18"/>
        </w:rPr>
        <w:t>55-64岁    ⑺65-69岁   ⑻70岁以上&lt;终止访问&gt;</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S3 您住在城镇、还是农村（居住地类型）？      </w:t>
      </w:r>
      <w:r>
        <w:rPr>
          <w:rFonts w:hint="eastAsia" w:ascii="宋体" w:hAnsi="宋体" w:cs="宋体"/>
          <w:bCs/>
          <w:color w:val="auto"/>
          <w:sz w:val="18"/>
          <w:szCs w:val="18"/>
          <w:lang w:val="en"/>
        </w:rPr>
        <w:t>⑴</w:t>
      </w:r>
      <w:r>
        <w:rPr>
          <w:rFonts w:hint="eastAsia" w:ascii="宋体" w:hAnsi="宋体" w:cs="宋体"/>
          <w:bCs/>
          <w:color w:val="auto"/>
          <w:sz w:val="18"/>
          <w:szCs w:val="18"/>
        </w:rPr>
        <w:t xml:space="preserve">城镇         </w:t>
      </w:r>
      <w:r>
        <w:rPr>
          <w:rFonts w:hint="eastAsia" w:ascii="宋体" w:hAnsi="宋体" w:cs="宋体"/>
          <w:bCs/>
          <w:color w:val="auto"/>
          <w:sz w:val="18"/>
          <w:szCs w:val="18"/>
          <w:lang w:val="en"/>
        </w:rPr>
        <w:t>⑵</w:t>
      </w:r>
      <w:r>
        <w:rPr>
          <w:rFonts w:hint="eastAsia" w:ascii="宋体" w:hAnsi="宋体" w:cs="宋体"/>
          <w:bCs/>
          <w:color w:val="auto"/>
          <w:sz w:val="18"/>
          <w:szCs w:val="18"/>
        </w:rPr>
        <w:t>农村</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S4 您的性别（访问员填写，无需询问受访者）：   </w:t>
      </w:r>
      <w:r>
        <w:rPr>
          <w:rFonts w:hint="eastAsia" w:ascii="宋体" w:hAnsi="宋体" w:cs="宋体"/>
          <w:bCs/>
          <w:color w:val="auto"/>
          <w:sz w:val="18"/>
          <w:szCs w:val="18"/>
          <w:lang w:val="en"/>
        </w:rPr>
        <w:t>⑴</w:t>
      </w:r>
      <w:r>
        <w:rPr>
          <w:rFonts w:hint="eastAsia" w:ascii="宋体" w:hAnsi="宋体" w:cs="宋体"/>
          <w:bCs/>
          <w:color w:val="auto"/>
          <w:sz w:val="18"/>
          <w:szCs w:val="18"/>
        </w:rPr>
        <w:t xml:space="preserve">男           </w:t>
      </w:r>
      <w:r>
        <w:rPr>
          <w:rFonts w:hint="eastAsia" w:ascii="宋体" w:hAnsi="宋体" w:cs="宋体"/>
          <w:bCs/>
          <w:color w:val="auto"/>
          <w:sz w:val="18"/>
          <w:szCs w:val="18"/>
          <w:lang w:val="en"/>
        </w:rPr>
        <w:t>⑵</w:t>
      </w:r>
      <w:r>
        <w:rPr>
          <w:rFonts w:hint="eastAsia" w:ascii="宋体" w:hAnsi="宋体" w:cs="宋体"/>
          <w:bCs/>
          <w:color w:val="auto"/>
          <w:sz w:val="18"/>
          <w:szCs w:val="18"/>
        </w:rPr>
        <w:t>女</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S</w:t>
      </w:r>
      <w:r>
        <w:rPr>
          <w:rFonts w:ascii="宋体" w:hAnsi="宋体" w:cs="宋体"/>
          <w:bCs/>
          <w:color w:val="auto"/>
          <w:sz w:val="18"/>
          <w:szCs w:val="18"/>
        </w:rPr>
        <w:t>5</w:t>
      </w:r>
      <w:r>
        <w:rPr>
          <w:rFonts w:hint="eastAsia" w:ascii="宋体" w:hAnsi="宋体" w:cs="宋体"/>
          <w:bCs/>
          <w:color w:val="auto"/>
          <w:sz w:val="18"/>
          <w:szCs w:val="18"/>
        </w:rPr>
        <w:t>请问您学历：⑴未上过学 ⑵小学  ⑶初中  ⑷高中（中专、职高、技校）</w:t>
      </w:r>
      <w:r>
        <w:rPr>
          <w:rFonts w:ascii="宋体" w:hAnsi="宋体" w:cs="宋体"/>
          <w:bCs/>
          <w:color w:val="auto"/>
          <w:sz w:val="18"/>
          <w:szCs w:val="18"/>
        </w:rPr>
        <w:t xml:space="preserve"> </w:t>
      </w:r>
      <w:r>
        <w:rPr>
          <w:rFonts w:hint="eastAsia" w:ascii="宋体" w:hAnsi="宋体" w:cs="宋体"/>
          <w:bCs/>
          <w:color w:val="auto"/>
          <w:sz w:val="18"/>
          <w:szCs w:val="18"/>
        </w:rPr>
        <w:t xml:space="preserve"> ⑸大学  ⑹研究生及以上</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S</w:t>
      </w:r>
      <w:r>
        <w:rPr>
          <w:rFonts w:ascii="宋体" w:hAnsi="宋体" w:cs="宋体"/>
          <w:bCs/>
          <w:color w:val="auto"/>
          <w:sz w:val="18"/>
          <w:szCs w:val="18"/>
        </w:rPr>
        <w:t>6</w:t>
      </w:r>
      <w:r>
        <w:rPr>
          <w:rFonts w:hint="eastAsia" w:ascii="宋体" w:hAnsi="宋体" w:cs="宋体"/>
          <w:bCs/>
          <w:color w:val="auto"/>
          <w:sz w:val="18"/>
          <w:szCs w:val="18"/>
        </w:rPr>
        <w:t>请问您的身份或工作单位性质是：⑴在校学生  ⑵企业单位职工  ⑶企业单位管理人员</w:t>
      </w:r>
    </w:p>
    <w:p>
      <w:pPr>
        <w:snapToGrid w:val="0"/>
        <w:spacing w:line="360" w:lineRule="exact"/>
        <w:ind w:firstLine="2880" w:firstLineChars="1600"/>
        <w:rPr>
          <w:rFonts w:ascii="宋体" w:hAnsi="宋体" w:cs="宋体"/>
          <w:bCs/>
          <w:color w:val="auto"/>
          <w:sz w:val="18"/>
          <w:szCs w:val="18"/>
        </w:rPr>
      </w:pPr>
      <w:r>
        <w:rPr>
          <w:rFonts w:hint="eastAsia" w:ascii="宋体" w:hAnsi="宋体" w:cs="宋体"/>
          <w:bCs/>
          <w:color w:val="auto"/>
          <w:sz w:val="18"/>
          <w:szCs w:val="18"/>
        </w:rPr>
        <w:t xml:space="preserve">⑷事业单位工作人员（科教文卫体） ⑸机关单位工作人员 ⑹个体户  </w:t>
      </w:r>
    </w:p>
    <w:p>
      <w:pPr>
        <w:snapToGrid w:val="0"/>
        <w:spacing w:line="360" w:lineRule="exact"/>
        <w:ind w:firstLine="2880" w:firstLineChars="1600"/>
        <w:rPr>
          <w:rFonts w:ascii="宋体" w:hAnsi="宋体" w:cs="宋体"/>
          <w:bCs/>
          <w:color w:val="auto"/>
          <w:sz w:val="18"/>
          <w:szCs w:val="18"/>
        </w:rPr>
      </w:pPr>
      <w:r>
        <w:rPr>
          <w:rFonts w:hint="eastAsia" w:ascii="宋体" w:hAnsi="宋体" w:cs="宋体"/>
          <w:bCs/>
          <w:color w:val="auto"/>
          <w:sz w:val="18"/>
          <w:szCs w:val="18"/>
        </w:rPr>
        <w:t>⑺无业（失业）人员 ⑻离退休人员 ⑼农民  ⑽自由职业者 ⑾其他 （请注明：   ）</w:t>
      </w:r>
    </w:p>
    <w:p>
      <w:pPr>
        <w:snapToGrid w:val="0"/>
        <w:spacing w:line="360" w:lineRule="exact"/>
        <w:rPr>
          <w:rFonts w:ascii="宋体" w:hAnsi="宋体" w:cs="宋体"/>
          <w:bCs/>
          <w:color w:val="auto"/>
          <w:sz w:val="18"/>
          <w:szCs w:val="18"/>
          <w:lang w:val="en"/>
        </w:rPr>
      </w:pPr>
      <w:r>
        <w:rPr>
          <w:rFonts w:hint="eastAsia" w:ascii="宋体" w:hAnsi="宋体" w:cs="宋体"/>
          <w:bCs/>
          <w:color w:val="auto"/>
          <w:sz w:val="18"/>
          <w:szCs w:val="18"/>
        </w:rPr>
        <w:t>第二部分   主体问卷</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Q1-a.您对所在地区 空气质量 的满意程度是：</w:t>
      </w:r>
    </w:p>
    <w:p>
      <w:pPr>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Q1-b.与去年相比，您认为所在地区的空气质量有什么变化？</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    </w:t>
      </w:r>
      <w:r>
        <w:rPr>
          <w:rFonts w:hint="eastAsia" w:ascii="宋体" w:hAnsi="宋体" w:cs="宋体"/>
          <w:bCs/>
          <w:color w:val="auto"/>
          <w:sz w:val="18"/>
          <w:szCs w:val="18"/>
          <w:lang w:val="en"/>
        </w:rPr>
        <w:t>⑴</w:t>
      </w:r>
      <w:r>
        <w:rPr>
          <w:rFonts w:hint="eastAsia" w:ascii="宋体" w:hAnsi="宋体" w:cs="宋体"/>
          <w:bCs/>
          <w:color w:val="auto"/>
          <w:sz w:val="18"/>
          <w:szCs w:val="18"/>
        </w:rPr>
        <w:t xml:space="preserve">好很多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好一些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没变化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差一些    </w:t>
      </w:r>
      <w:r>
        <w:rPr>
          <w:rFonts w:hint="eastAsia" w:ascii="宋体" w:hAnsi="宋体" w:cs="宋体"/>
          <w:bCs/>
          <w:color w:val="auto"/>
          <w:sz w:val="18"/>
          <w:szCs w:val="18"/>
        </w:rPr>
        <w:fldChar w:fldCharType="begin"/>
      </w:r>
      <w:r>
        <w:rPr>
          <w:rFonts w:hint="eastAsia" w:ascii="宋体" w:hAnsi="宋体" w:cs="宋体"/>
          <w:bCs/>
          <w:color w:val="auto"/>
          <w:sz w:val="18"/>
          <w:szCs w:val="18"/>
        </w:rPr>
        <w:instrText xml:space="preserve">= 5 \* GB3</w:instrText>
      </w:r>
      <w:r>
        <w:rPr>
          <w:rFonts w:hint="eastAsia" w:ascii="宋体" w:hAnsi="宋体" w:cs="宋体"/>
          <w:bCs/>
          <w:color w:val="auto"/>
          <w:sz w:val="18"/>
          <w:szCs w:val="18"/>
        </w:rPr>
        <w:fldChar w:fldCharType="separate"/>
      </w:r>
      <w:r>
        <w:rPr>
          <w:rFonts w:hint="eastAsia" w:ascii="宋体" w:hAnsi="宋体" w:cs="宋体"/>
          <w:bCs/>
          <w:color w:val="auto"/>
          <w:sz w:val="18"/>
          <w:szCs w:val="18"/>
          <w:lang w:val="en"/>
        </w:rPr>
        <w:t>⑸</w:t>
      </w:r>
      <w:r>
        <w:rPr>
          <w:rFonts w:hint="eastAsia" w:ascii="宋体" w:hAnsi="宋体" w:cs="宋体"/>
          <w:bCs/>
          <w:color w:val="auto"/>
          <w:sz w:val="18"/>
          <w:szCs w:val="18"/>
        </w:rPr>
        <w:fldChar w:fldCharType="end"/>
      </w:r>
      <w:r>
        <w:rPr>
          <w:rFonts w:hint="eastAsia" w:ascii="宋体" w:hAnsi="宋体" w:cs="宋体"/>
          <w:bCs/>
          <w:color w:val="auto"/>
          <w:sz w:val="18"/>
          <w:szCs w:val="18"/>
        </w:rPr>
        <w:t xml:space="preserve">差很多    </w:t>
      </w:r>
      <w:r>
        <w:rPr>
          <w:rFonts w:hint="eastAsia" w:ascii="宋体" w:hAnsi="宋体" w:cs="宋体"/>
          <w:bCs/>
          <w:color w:val="auto"/>
          <w:sz w:val="18"/>
          <w:szCs w:val="18"/>
          <w:lang w:val="en"/>
        </w:rPr>
        <w:t>⑹</w:t>
      </w:r>
      <w:r>
        <w:rPr>
          <w:rFonts w:hint="eastAsia" w:ascii="宋体" w:hAnsi="宋体" w:cs="宋体"/>
          <w:bCs/>
          <w:color w:val="auto"/>
          <w:sz w:val="18"/>
          <w:szCs w:val="18"/>
        </w:rPr>
        <w:t>不清楚或不了解（不读出）</w:t>
      </w:r>
    </w:p>
    <w:p>
      <w:pPr>
        <w:tabs>
          <w:tab w:val="left" w:pos="426"/>
        </w:tabs>
        <w:snapToGrid w:val="0"/>
        <w:spacing w:line="360" w:lineRule="exact"/>
        <w:rPr>
          <w:rFonts w:ascii="宋体" w:hAnsi="宋体" w:cs="宋体"/>
          <w:bCs/>
          <w:color w:val="auto"/>
          <w:sz w:val="18"/>
          <w:szCs w:val="18"/>
        </w:rPr>
      </w:pPr>
      <w:r>
        <w:rPr>
          <w:rFonts w:hint="eastAsia" w:ascii="宋体" w:hAnsi="宋体" w:cs="宋体"/>
          <w:bCs/>
          <w:color w:val="auto"/>
          <w:sz w:val="18"/>
          <w:szCs w:val="18"/>
        </w:rPr>
        <w:t>Q2.您对所在地区饮用水水质的满意程度是：</w:t>
      </w:r>
    </w:p>
    <w:p>
      <w:pPr>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tabs>
          <w:tab w:val="left" w:pos="426"/>
        </w:tabs>
        <w:snapToGrid w:val="0"/>
        <w:spacing w:line="360" w:lineRule="exact"/>
        <w:rPr>
          <w:rFonts w:ascii="宋体" w:hAnsi="宋体" w:cs="宋体"/>
          <w:bCs/>
          <w:color w:val="auto"/>
          <w:sz w:val="18"/>
          <w:szCs w:val="18"/>
        </w:rPr>
      </w:pPr>
      <w:r>
        <w:rPr>
          <w:rFonts w:hint="eastAsia" w:ascii="宋体" w:hAnsi="宋体" w:cs="宋体"/>
          <w:bCs/>
          <w:color w:val="auto"/>
          <w:sz w:val="18"/>
          <w:szCs w:val="18"/>
        </w:rPr>
        <w:t>Q3.您对所在地区河流、湖泊或附近海域环境状况的满意程度是：</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 xml:space="preserve">    </w:t>
      </w: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很不满意</w:t>
      </w:r>
    </w:p>
    <w:p>
      <w:pPr>
        <w:snapToGrid w:val="0"/>
        <w:spacing w:line="360" w:lineRule="exact"/>
        <w:ind w:firstLine="360"/>
        <w:rPr>
          <w:rFonts w:ascii="宋体" w:hAnsi="宋体" w:cs="宋体"/>
          <w:bCs/>
          <w:color w:val="auto"/>
          <w:sz w:val="18"/>
          <w:szCs w:val="18"/>
        </w:rPr>
      </w:pPr>
      <w:r>
        <w:rPr>
          <w:rFonts w:hint="eastAsia" w:ascii="宋体" w:hAnsi="宋体" w:cs="宋体"/>
          <w:bCs/>
          <w:color w:val="auto"/>
          <w:sz w:val="18"/>
          <w:szCs w:val="18"/>
          <w:lang w:val="en"/>
        </w:rPr>
        <w:t>⑸</w:t>
      </w:r>
      <w:r>
        <w:rPr>
          <w:rFonts w:hint="eastAsia" w:ascii="宋体" w:hAnsi="宋体" w:cs="宋体"/>
          <w:bCs/>
          <w:color w:val="auto"/>
          <w:sz w:val="18"/>
          <w:szCs w:val="18"/>
        </w:rPr>
        <w:t xml:space="preserve">所在地区没有河流湖泊、也不靠海（不读出）    </w:t>
      </w:r>
      <w:r>
        <w:rPr>
          <w:rFonts w:hint="eastAsia" w:ascii="宋体" w:hAnsi="宋体" w:cs="宋体"/>
          <w:bCs/>
          <w:color w:val="auto"/>
          <w:sz w:val="18"/>
          <w:szCs w:val="18"/>
        </w:rPr>
        <w:fldChar w:fldCharType="begin"/>
      </w:r>
      <w:r>
        <w:rPr>
          <w:rFonts w:hint="eastAsia" w:ascii="宋体" w:hAnsi="宋体" w:cs="宋体"/>
          <w:bCs/>
          <w:color w:val="auto"/>
          <w:sz w:val="18"/>
          <w:szCs w:val="18"/>
        </w:rPr>
        <w:instrText xml:space="preserve"> = 6 \* GB3 </w:instrText>
      </w:r>
      <w:r>
        <w:rPr>
          <w:rFonts w:hint="eastAsia" w:ascii="宋体" w:hAnsi="宋体" w:cs="宋体"/>
          <w:bCs/>
          <w:color w:val="auto"/>
          <w:sz w:val="18"/>
          <w:szCs w:val="18"/>
        </w:rPr>
        <w:fldChar w:fldCharType="separate"/>
      </w:r>
      <w:r>
        <w:rPr>
          <w:rFonts w:hint="eastAsia" w:ascii="宋体" w:hAnsi="宋体" w:cs="宋体"/>
          <w:bCs/>
          <w:color w:val="auto"/>
          <w:sz w:val="18"/>
          <w:szCs w:val="18"/>
          <w:lang w:val="en"/>
        </w:rPr>
        <w:t>⑹</w:t>
      </w:r>
      <w:r>
        <w:rPr>
          <w:rFonts w:hint="eastAsia" w:ascii="宋体" w:hAnsi="宋体" w:cs="宋体"/>
          <w:bCs/>
          <w:color w:val="auto"/>
          <w:sz w:val="18"/>
          <w:szCs w:val="18"/>
        </w:rPr>
        <w:fldChar w:fldCharType="end"/>
      </w:r>
      <w:r>
        <w:rPr>
          <w:rFonts w:hint="eastAsia" w:ascii="宋体" w:hAnsi="宋体" w:cs="宋体"/>
          <w:bCs/>
          <w:color w:val="auto"/>
          <w:sz w:val="18"/>
          <w:szCs w:val="18"/>
        </w:rPr>
        <w:t>不清楚或不了解（不读出）</w:t>
      </w:r>
    </w:p>
    <w:p>
      <w:pPr>
        <w:snapToGrid w:val="0"/>
        <w:spacing w:line="360" w:lineRule="exact"/>
        <w:ind w:left="270" w:hanging="270" w:hangingChars="150"/>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4</w:t>
      </w:r>
      <w:r>
        <w:rPr>
          <w:rFonts w:hint="eastAsia" w:ascii="宋体" w:hAnsi="宋体" w:cs="宋体"/>
          <w:bCs/>
          <w:color w:val="auto"/>
          <w:sz w:val="18"/>
          <w:szCs w:val="18"/>
        </w:rPr>
        <w:t>.</w:t>
      </w:r>
      <w:r>
        <w:rPr>
          <w:rFonts w:hint="eastAsia" w:ascii="宋体" w:hAnsi="宋体" w:cs="宋体"/>
          <w:bCs/>
          <w:color w:val="auto"/>
          <w:kern w:val="0"/>
          <w:sz w:val="18"/>
          <w:szCs w:val="18"/>
        </w:rPr>
        <w:t>&lt;仅提问农村居民&gt;</w:t>
      </w:r>
      <w:r>
        <w:rPr>
          <w:rFonts w:hint="eastAsia" w:ascii="宋体" w:hAnsi="宋体" w:cs="宋体"/>
          <w:bCs/>
          <w:color w:val="auto"/>
          <w:sz w:val="18"/>
          <w:szCs w:val="18"/>
        </w:rPr>
        <w:t xml:space="preserve">您对所在地区 土壤环境质量 的满意程度是：（如是否存在工矿企业废水、废气、废渣排放污染耕地的情况，假冒伪劣农药、化肥是否严重等） </w:t>
      </w:r>
    </w:p>
    <w:p>
      <w:pPr>
        <w:pStyle w:val="13"/>
        <w:numPr>
          <w:ilvl w:val="0"/>
          <w:numId w:val="1"/>
        </w:numPr>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5</w:t>
      </w:r>
      <w:r>
        <w:rPr>
          <w:rFonts w:hint="eastAsia" w:ascii="宋体" w:hAnsi="宋体" w:cs="宋体"/>
          <w:bCs/>
          <w:color w:val="auto"/>
          <w:sz w:val="18"/>
          <w:szCs w:val="18"/>
        </w:rPr>
        <w:t>-a.</w:t>
      </w:r>
      <w:r>
        <w:rPr>
          <w:rFonts w:hint="eastAsia" w:ascii="宋体" w:hAnsi="宋体" w:cs="宋体"/>
          <w:bCs/>
          <w:color w:val="auto"/>
          <w:kern w:val="0"/>
          <w:sz w:val="18"/>
          <w:szCs w:val="18"/>
        </w:rPr>
        <w:t>&lt;仅提问城镇居民&gt;</w:t>
      </w:r>
      <w:r>
        <w:rPr>
          <w:rFonts w:hint="eastAsia" w:ascii="宋体" w:hAnsi="宋体" w:cs="宋体"/>
          <w:bCs/>
          <w:color w:val="auto"/>
          <w:sz w:val="18"/>
          <w:szCs w:val="18"/>
        </w:rPr>
        <w:t>您对所在地区 居住、生活环境 的满意程度是：</w:t>
      </w:r>
    </w:p>
    <w:p>
      <w:pPr>
        <w:pStyle w:val="13"/>
        <w:numPr>
          <w:ilvl w:val="0"/>
          <w:numId w:val="2"/>
        </w:numPr>
        <w:tabs>
          <w:tab w:val="left" w:pos="0"/>
        </w:tabs>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tabs>
          <w:tab w:val="left" w:pos="0"/>
          <w:tab w:val="left" w:pos="426"/>
        </w:tabs>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5</w:t>
      </w:r>
      <w:r>
        <w:rPr>
          <w:rFonts w:hint="eastAsia" w:ascii="宋体" w:hAnsi="宋体" w:cs="宋体"/>
          <w:bCs/>
          <w:color w:val="auto"/>
          <w:sz w:val="18"/>
          <w:szCs w:val="18"/>
        </w:rPr>
        <w:t>-b.</w:t>
      </w:r>
      <w:r>
        <w:rPr>
          <w:rFonts w:hint="eastAsia" w:ascii="宋体" w:hAnsi="宋体" w:cs="宋体"/>
          <w:bCs/>
          <w:color w:val="auto"/>
          <w:kern w:val="0"/>
          <w:sz w:val="18"/>
          <w:szCs w:val="18"/>
        </w:rPr>
        <w:t>&lt;仅提问农村居民&gt;</w:t>
      </w:r>
      <w:r>
        <w:rPr>
          <w:rFonts w:hint="eastAsia" w:ascii="宋体" w:hAnsi="宋体" w:cs="宋体"/>
          <w:bCs/>
          <w:color w:val="auto"/>
          <w:sz w:val="18"/>
          <w:szCs w:val="18"/>
        </w:rPr>
        <w:t>您对所居住 村庄环境（包括村容村貌等） 的满意程度是：</w:t>
      </w:r>
    </w:p>
    <w:p>
      <w:pPr>
        <w:pStyle w:val="13"/>
        <w:numPr>
          <w:ilvl w:val="0"/>
          <w:numId w:val="3"/>
        </w:numPr>
        <w:tabs>
          <w:tab w:val="left" w:pos="0"/>
        </w:tabs>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非常满意</w:t>
      </w:r>
      <w:r>
        <w:rPr>
          <w:rFonts w:ascii="宋体" w:hAnsi="宋体" w:cs="宋体"/>
          <w:bCs/>
          <w:color w:val="auto"/>
          <w:sz w:val="18"/>
          <w:szCs w:val="18"/>
        </w:rPr>
        <w:t xml:space="preserve">    </w:t>
      </w:r>
      <w:r>
        <w:rPr>
          <w:rFonts w:hint="eastAsia" w:ascii="宋体" w:hAnsi="宋体" w:cs="宋体"/>
          <w:bCs/>
          <w:color w:val="auto"/>
          <w:sz w:val="18"/>
          <w:szCs w:val="18"/>
          <w:lang w:val="en"/>
        </w:rPr>
        <w:t>⑵</w:t>
      </w:r>
      <w:r>
        <w:rPr>
          <w:rFonts w:hint="eastAsia" w:ascii="宋体" w:hAnsi="宋体" w:cs="宋体"/>
          <w:bCs/>
          <w:color w:val="auto"/>
          <w:sz w:val="18"/>
          <w:szCs w:val="18"/>
        </w:rPr>
        <w:t>比较满意</w:t>
      </w:r>
      <w:r>
        <w:rPr>
          <w:rFonts w:ascii="宋体" w:hAnsi="宋体" w:cs="宋体"/>
          <w:bCs/>
          <w:color w:val="auto"/>
          <w:sz w:val="18"/>
          <w:szCs w:val="18"/>
        </w:rPr>
        <w:t xml:space="preserve">    </w:t>
      </w:r>
      <w:r>
        <w:rPr>
          <w:rFonts w:hint="eastAsia" w:ascii="宋体" w:hAnsi="宋体" w:cs="宋体"/>
          <w:bCs/>
          <w:color w:val="auto"/>
          <w:sz w:val="18"/>
          <w:szCs w:val="18"/>
          <w:lang w:val="en"/>
        </w:rPr>
        <w:t>⑶</w:t>
      </w:r>
      <w:r>
        <w:rPr>
          <w:rFonts w:hint="eastAsia" w:ascii="宋体" w:hAnsi="宋体" w:cs="宋体"/>
          <w:bCs/>
          <w:color w:val="auto"/>
          <w:sz w:val="18"/>
          <w:szCs w:val="18"/>
        </w:rPr>
        <w:t>不太满意</w:t>
      </w:r>
      <w:r>
        <w:rPr>
          <w:rFonts w:ascii="宋体" w:hAnsi="宋体" w:cs="宋体"/>
          <w:bCs/>
          <w:color w:val="auto"/>
          <w:sz w:val="18"/>
          <w:szCs w:val="18"/>
        </w:rPr>
        <w:t xml:space="preserve">    </w:t>
      </w:r>
      <w:r>
        <w:rPr>
          <w:rFonts w:hint="eastAsia" w:ascii="宋体" w:hAnsi="宋体" w:cs="宋体"/>
          <w:bCs/>
          <w:color w:val="auto"/>
          <w:sz w:val="18"/>
          <w:szCs w:val="18"/>
          <w:lang w:val="en"/>
        </w:rPr>
        <w:t>⑷</w:t>
      </w:r>
      <w:r>
        <w:rPr>
          <w:rFonts w:hint="eastAsia" w:ascii="宋体" w:hAnsi="宋体" w:cs="宋体"/>
          <w:bCs/>
          <w:color w:val="auto"/>
          <w:sz w:val="18"/>
          <w:szCs w:val="18"/>
        </w:rPr>
        <w:t>很不满意</w:t>
      </w:r>
      <w:r>
        <w:rPr>
          <w:rFonts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6</w:t>
      </w:r>
      <w:r>
        <w:rPr>
          <w:rFonts w:hint="eastAsia" w:ascii="宋体" w:hAnsi="宋体" w:cs="宋体"/>
          <w:bCs/>
          <w:color w:val="auto"/>
          <w:sz w:val="18"/>
          <w:szCs w:val="18"/>
        </w:rPr>
        <w:t>.您对所在地区 污水处理情况 的满意程度是：</w:t>
      </w:r>
    </w:p>
    <w:p>
      <w:pPr>
        <w:pStyle w:val="13"/>
        <w:numPr>
          <w:ilvl w:val="0"/>
          <w:numId w:val="4"/>
        </w:numPr>
        <w:tabs>
          <w:tab w:val="left" w:pos="0"/>
        </w:tabs>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7</w:t>
      </w:r>
      <w:r>
        <w:rPr>
          <w:rFonts w:hint="eastAsia" w:ascii="宋体" w:hAnsi="宋体" w:cs="宋体"/>
          <w:bCs/>
          <w:color w:val="auto"/>
          <w:sz w:val="18"/>
          <w:szCs w:val="18"/>
        </w:rPr>
        <w:t>.您对所在地区 生活垃圾处理情况 的满意程度是：</w:t>
      </w:r>
    </w:p>
    <w:p>
      <w:pPr>
        <w:pStyle w:val="13"/>
        <w:numPr>
          <w:ilvl w:val="0"/>
          <w:numId w:val="5"/>
        </w:numPr>
        <w:tabs>
          <w:tab w:val="left" w:pos="0"/>
        </w:tabs>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tabs>
          <w:tab w:val="left" w:pos="426"/>
        </w:tabs>
        <w:snapToGrid w:val="0"/>
        <w:spacing w:line="360" w:lineRule="exact"/>
        <w:ind w:left="450" w:hanging="450" w:hangingChars="250"/>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8</w:t>
      </w:r>
      <w:r>
        <w:rPr>
          <w:rFonts w:hint="eastAsia" w:ascii="宋体" w:hAnsi="宋体" w:cs="宋体"/>
          <w:bCs/>
          <w:color w:val="auto"/>
          <w:sz w:val="18"/>
          <w:szCs w:val="18"/>
        </w:rPr>
        <w:t>-a.</w:t>
      </w:r>
      <w:r>
        <w:rPr>
          <w:rFonts w:hint="eastAsia" w:ascii="宋体" w:hAnsi="宋体" w:cs="宋体"/>
          <w:bCs/>
          <w:color w:val="auto"/>
          <w:kern w:val="0"/>
          <w:sz w:val="18"/>
          <w:szCs w:val="18"/>
        </w:rPr>
        <w:t>&lt;仅提问城镇居民&gt;</w:t>
      </w:r>
      <w:r>
        <w:rPr>
          <w:rFonts w:hint="eastAsia" w:ascii="宋体" w:hAnsi="宋体" w:cs="宋体"/>
          <w:bCs/>
          <w:color w:val="auto"/>
          <w:sz w:val="18"/>
          <w:szCs w:val="18"/>
        </w:rPr>
        <w:t>您对所在地区 公共厕所卫生条件 （不包括商场、写字楼和餐厅等）的满意程度是：</w:t>
      </w:r>
    </w:p>
    <w:p>
      <w:pPr>
        <w:tabs>
          <w:tab w:val="left" w:pos="426"/>
        </w:tabs>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p>
    <w:p>
      <w:pPr>
        <w:tabs>
          <w:tab w:val="left" w:pos="426"/>
        </w:tabs>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⑸</w:t>
      </w:r>
      <w:r>
        <w:rPr>
          <w:rFonts w:hint="eastAsia" w:ascii="宋体" w:hAnsi="宋体" w:cs="宋体"/>
          <w:bCs/>
          <w:color w:val="auto"/>
          <w:sz w:val="18"/>
          <w:szCs w:val="18"/>
        </w:rPr>
        <w:t xml:space="preserve">没有公共厕所（不读出）    </w:t>
      </w:r>
      <w:r>
        <w:rPr>
          <w:rFonts w:hint="eastAsia" w:ascii="宋体" w:hAnsi="宋体" w:cs="宋体"/>
          <w:bCs/>
          <w:color w:val="auto"/>
          <w:sz w:val="18"/>
          <w:szCs w:val="18"/>
        </w:rPr>
        <w:fldChar w:fldCharType="begin"/>
      </w:r>
      <w:r>
        <w:rPr>
          <w:rFonts w:hint="eastAsia" w:ascii="宋体" w:hAnsi="宋体" w:cs="宋体"/>
          <w:bCs/>
          <w:color w:val="auto"/>
          <w:sz w:val="18"/>
          <w:szCs w:val="18"/>
        </w:rPr>
        <w:instrText xml:space="preserve"> = 6 \* GB3 </w:instrText>
      </w:r>
      <w:r>
        <w:rPr>
          <w:rFonts w:hint="eastAsia" w:ascii="宋体" w:hAnsi="宋体" w:cs="宋体"/>
          <w:bCs/>
          <w:color w:val="auto"/>
          <w:sz w:val="18"/>
          <w:szCs w:val="18"/>
        </w:rPr>
        <w:fldChar w:fldCharType="separate"/>
      </w:r>
      <w:r>
        <w:rPr>
          <w:rFonts w:hint="eastAsia" w:ascii="宋体" w:hAnsi="宋体" w:cs="宋体"/>
          <w:bCs/>
          <w:color w:val="auto"/>
          <w:sz w:val="18"/>
          <w:szCs w:val="18"/>
          <w:lang w:val="en"/>
        </w:rPr>
        <w:t>⑹</w:t>
      </w:r>
      <w:r>
        <w:rPr>
          <w:rFonts w:hint="eastAsia" w:ascii="宋体" w:hAnsi="宋体" w:cs="宋体"/>
          <w:bCs/>
          <w:color w:val="auto"/>
          <w:sz w:val="18"/>
          <w:szCs w:val="18"/>
        </w:rPr>
        <w:fldChar w:fldCharType="end"/>
      </w:r>
      <w:r>
        <w:rPr>
          <w:rFonts w:hint="eastAsia" w:ascii="宋体" w:hAnsi="宋体" w:cs="宋体"/>
          <w:bCs/>
          <w:color w:val="auto"/>
          <w:sz w:val="18"/>
          <w:szCs w:val="18"/>
        </w:rPr>
        <w:t>不清楚或不了解（不读出）</w:t>
      </w:r>
    </w:p>
    <w:p>
      <w:pPr>
        <w:tabs>
          <w:tab w:val="left" w:pos="426"/>
        </w:tabs>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8</w:t>
      </w:r>
      <w:r>
        <w:rPr>
          <w:rFonts w:hint="eastAsia" w:ascii="宋体" w:hAnsi="宋体" w:cs="宋体"/>
          <w:bCs/>
          <w:color w:val="auto"/>
          <w:sz w:val="18"/>
          <w:szCs w:val="18"/>
        </w:rPr>
        <w:t>-b.</w:t>
      </w:r>
      <w:r>
        <w:rPr>
          <w:rFonts w:hint="eastAsia" w:ascii="宋体" w:hAnsi="宋体" w:cs="宋体"/>
          <w:bCs/>
          <w:color w:val="auto"/>
          <w:kern w:val="0"/>
          <w:sz w:val="18"/>
          <w:szCs w:val="18"/>
        </w:rPr>
        <w:t>&lt;仅提问农村居民&gt;</w:t>
      </w:r>
      <w:r>
        <w:rPr>
          <w:rFonts w:hint="eastAsia" w:ascii="宋体" w:hAnsi="宋体" w:cs="宋体"/>
          <w:bCs/>
          <w:color w:val="auto"/>
          <w:sz w:val="18"/>
          <w:szCs w:val="18"/>
        </w:rPr>
        <w:t>您对所在地区 家用卫生厕所的建设和改造情况 的满意程度是：</w:t>
      </w:r>
    </w:p>
    <w:p>
      <w:pPr>
        <w:tabs>
          <w:tab w:val="left" w:pos="426"/>
        </w:tabs>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很不满意</w:t>
      </w:r>
    </w:p>
    <w:p>
      <w:pPr>
        <w:tabs>
          <w:tab w:val="left" w:pos="426"/>
        </w:tabs>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⑸</w:t>
      </w:r>
      <w:r>
        <w:rPr>
          <w:rFonts w:hint="eastAsia" w:ascii="宋体" w:hAnsi="宋体" w:cs="宋体"/>
          <w:bCs/>
          <w:color w:val="auto"/>
          <w:sz w:val="18"/>
          <w:szCs w:val="18"/>
        </w:rPr>
        <w:t xml:space="preserve">没有建设/改造卫生厕所（不读出）    </w:t>
      </w:r>
      <w:r>
        <w:rPr>
          <w:rFonts w:hint="eastAsia" w:ascii="宋体" w:hAnsi="宋体" w:cs="宋体"/>
          <w:bCs/>
          <w:color w:val="auto"/>
          <w:sz w:val="18"/>
          <w:szCs w:val="18"/>
        </w:rPr>
        <w:fldChar w:fldCharType="begin"/>
      </w:r>
      <w:r>
        <w:rPr>
          <w:rFonts w:hint="eastAsia" w:ascii="宋体" w:hAnsi="宋体" w:cs="宋体"/>
          <w:bCs/>
          <w:color w:val="auto"/>
          <w:sz w:val="18"/>
          <w:szCs w:val="18"/>
        </w:rPr>
        <w:instrText xml:space="preserve"> = 6 \* GB3 </w:instrText>
      </w:r>
      <w:r>
        <w:rPr>
          <w:rFonts w:hint="eastAsia" w:ascii="宋体" w:hAnsi="宋体" w:cs="宋体"/>
          <w:bCs/>
          <w:color w:val="auto"/>
          <w:sz w:val="18"/>
          <w:szCs w:val="18"/>
        </w:rPr>
        <w:fldChar w:fldCharType="separate"/>
      </w:r>
      <w:r>
        <w:rPr>
          <w:rFonts w:hint="eastAsia" w:ascii="宋体" w:hAnsi="宋体" w:cs="宋体"/>
          <w:bCs/>
          <w:color w:val="auto"/>
          <w:sz w:val="18"/>
          <w:szCs w:val="18"/>
          <w:lang w:val="en"/>
        </w:rPr>
        <w:t>⑹</w:t>
      </w:r>
      <w:r>
        <w:rPr>
          <w:rFonts w:hint="eastAsia" w:ascii="宋体" w:hAnsi="宋体" w:cs="宋体"/>
          <w:bCs/>
          <w:color w:val="auto"/>
          <w:sz w:val="18"/>
          <w:szCs w:val="18"/>
        </w:rPr>
        <w:fldChar w:fldCharType="end"/>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9</w:t>
      </w:r>
      <w:r>
        <w:rPr>
          <w:rFonts w:hint="eastAsia" w:ascii="宋体" w:hAnsi="宋体" w:cs="宋体"/>
          <w:bCs/>
          <w:color w:val="auto"/>
          <w:sz w:val="18"/>
          <w:szCs w:val="18"/>
        </w:rPr>
        <w:t>.您对所在地区 噪音影响情况（声环境质量） 的满意程度是：</w:t>
      </w:r>
    </w:p>
    <w:p>
      <w:pPr>
        <w:pStyle w:val="13"/>
        <w:numPr>
          <w:ilvl w:val="0"/>
          <w:numId w:val="6"/>
        </w:numPr>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非常满意    ⑵比较满意    ⑶不太满意    ⑷很不满意    ⑸不清楚或不了解（不读出）</w:t>
      </w:r>
    </w:p>
    <w:p>
      <w:pPr>
        <w:snapToGrid w:val="0"/>
        <w:spacing w:line="360" w:lineRule="exact"/>
        <w:rPr>
          <w:rFonts w:ascii="宋体" w:hAnsi="宋体" w:cs="宋体"/>
          <w:bCs/>
          <w:color w:val="auto"/>
          <w:sz w:val="18"/>
          <w:szCs w:val="18"/>
        </w:rPr>
      </w:pPr>
      <w:r>
        <w:rPr>
          <w:rFonts w:ascii="宋体" w:hAnsi="宋体" w:cs="宋体"/>
          <w:bCs/>
          <w:color w:val="auto"/>
          <w:sz w:val="18"/>
          <w:szCs w:val="18"/>
        </w:rPr>
        <w:t>Q10</w:t>
      </w:r>
      <w:r>
        <w:rPr>
          <w:rFonts w:hint="eastAsia" w:ascii="宋体" w:hAnsi="宋体" w:cs="宋体"/>
          <w:bCs/>
          <w:color w:val="auto"/>
          <w:sz w:val="18"/>
          <w:szCs w:val="18"/>
        </w:rPr>
        <w:t>.</w:t>
      </w:r>
      <w:r>
        <w:rPr>
          <w:rFonts w:ascii="宋体" w:hAnsi="宋体" w:cs="宋体"/>
          <w:bCs/>
          <w:color w:val="auto"/>
          <w:sz w:val="18"/>
          <w:szCs w:val="18"/>
        </w:rPr>
        <w:t>您对所在地区的环境绿化情况</w:t>
      </w:r>
      <w:r>
        <w:rPr>
          <w:rFonts w:hint="eastAsia" w:ascii="宋体" w:hAnsi="宋体" w:cs="宋体"/>
          <w:bCs/>
          <w:color w:val="auto"/>
          <w:sz w:val="18"/>
          <w:szCs w:val="18"/>
        </w:rPr>
        <w:t>的满意程度是：</w:t>
      </w:r>
    </w:p>
    <w:p>
      <w:pPr>
        <w:pStyle w:val="13"/>
        <w:numPr>
          <w:ilvl w:val="0"/>
          <w:numId w:val="7"/>
        </w:numPr>
        <w:snapToGrid w:val="0"/>
        <w:spacing w:line="360" w:lineRule="exact"/>
        <w:ind w:firstLineChars="0"/>
        <w:rPr>
          <w:rFonts w:ascii="宋体" w:hAnsi="宋体" w:cs="宋体"/>
          <w:bCs/>
          <w:color w:val="auto"/>
          <w:sz w:val="18"/>
          <w:szCs w:val="18"/>
        </w:rPr>
      </w:pPr>
      <w:r>
        <w:rPr>
          <w:rFonts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ascii="宋体" w:hAnsi="宋体" w:cs="宋体"/>
          <w:bCs/>
          <w:color w:val="auto"/>
          <w:sz w:val="18"/>
          <w:szCs w:val="18"/>
        </w:rPr>
        <w:t>很不满意</w:t>
      </w:r>
      <w:r>
        <w:rPr>
          <w:rFonts w:hint="eastAsia"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ind w:left="360" w:hanging="360" w:hangingChars="200"/>
        <w:rPr>
          <w:rFonts w:ascii="宋体" w:hAnsi="宋体" w:cs="宋体"/>
          <w:bCs/>
          <w:color w:val="auto"/>
          <w:sz w:val="18"/>
          <w:szCs w:val="18"/>
        </w:rPr>
      </w:pPr>
      <w:r>
        <w:rPr>
          <w:rFonts w:hint="eastAsia" w:ascii="宋体" w:hAnsi="宋体" w:cs="宋体"/>
          <w:bCs/>
          <w:color w:val="auto"/>
          <w:sz w:val="18"/>
          <w:szCs w:val="18"/>
        </w:rPr>
        <w:t>Q</w:t>
      </w:r>
      <w:r>
        <w:rPr>
          <w:rFonts w:ascii="宋体" w:hAnsi="宋体" w:cs="宋体"/>
          <w:bCs/>
          <w:color w:val="auto"/>
          <w:sz w:val="18"/>
          <w:szCs w:val="18"/>
        </w:rPr>
        <w:t>11</w:t>
      </w:r>
      <w:r>
        <w:rPr>
          <w:rFonts w:hint="eastAsia" w:ascii="宋体" w:hAnsi="宋体" w:cs="宋体"/>
          <w:bCs/>
          <w:color w:val="auto"/>
          <w:sz w:val="18"/>
          <w:szCs w:val="18"/>
        </w:rPr>
        <w:t>.您认为所在地区的河流、湖泊受污染的程度是？（河流、湖泊污染：指排入河流/湖泊的污染物导致河水/湖水水质恶化。）</w:t>
      </w:r>
    </w:p>
    <w:p>
      <w:pPr>
        <w:snapToGrid w:val="0"/>
        <w:spacing w:line="360" w:lineRule="exact"/>
        <w:ind w:left="420" w:leftChars="200"/>
        <w:rPr>
          <w:rFonts w:ascii="宋体" w:hAnsi="宋体" w:cs="宋体"/>
          <w:bCs/>
          <w:color w:val="auto"/>
          <w:sz w:val="18"/>
          <w:szCs w:val="18"/>
        </w:rPr>
      </w:pPr>
      <w:r>
        <w:rPr>
          <w:rFonts w:hint="eastAsia" w:ascii="宋体" w:hAnsi="宋体" w:cs="宋体"/>
          <w:bCs/>
          <w:color w:val="auto"/>
          <w:sz w:val="18"/>
          <w:szCs w:val="18"/>
        </w:rPr>
        <w:t>（1）没有污染  （2）轻度污染  （3）中度污染  （4）严重污染    （5）不清楚或不了解（不读出）</w:t>
      </w:r>
    </w:p>
    <w:p>
      <w:pPr>
        <w:snapToGrid w:val="0"/>
        <w:spacing w:line="360" w:lineRule="exact"/>
        <w:ind w:left="360" w:hanging="360" w:hangingChars="200"/>
        <w:rPr>
          <w:rFonts w:ascii="宋体" w:hAnsi="宋体" w:cs="宋体"/>
          <w:bCs/>
          <w:color w:val="auto"/>
          <w:sz w:val="18"/>
          <w:szCs w:val="18"/>
        </w:rPr>
      </w:pPr>
      <w:r>
        <w:rPr>
          <w:rFonts w:ascii="宋体" w:hAnsi="宋体" w:cs="宋体"/>
          <w:bCs/>
          <w:color w:val="auto"/>
          <w:sz w:val="18"/>
          <w:szCs w:val="18"/>
        </w:rPr>
        <w:t>Q12</w:t>
      </w:r>
      <w:r>
        <w:rPr>
          <w:rFonts w:hint="eastAsia" w:ascii="宋体" w:hAnsi="宋体" w:cs="宋体"/>
          <w:bCs/>
          <w:color w:val="auto"/>
          <w:sz w:val="18"/>
          <w:szCs w:val="18"/>
        </w:rPr>
        <w:t>.</w:t>
      </w:r>
      <w:r>
        <w:rPr>
          <w:rFonts w:ascii="宋体" w:hAnsi="宋体" w:cs="宋体"/>
          <w:bCs/>
          <w:color w:val="auto"/>
          <w:sz w:val="18"/>
          <w:szCs w:val="18"/>
        </w:rPr>
        <w:t>您认为所在地区企业排污带来的污染程度是？（企业排污带来的污染：指企业生产过程中排出的有害气体、污水、有害废弃物导致的大气、水、土壤污染和噪声污染等。）</w:t>
      </w:r>
    </w:p>
    <w:p>
      <w:pPr>
        <w:pStyle w:val="13"/>
        <w:numPr>
          <w:ilvl w:val="0"/>
          <w:numId w:val="8"/>
        </w:numPr>
        <w:snapToGrid w:val="0"/>
        <w:spacing w:line="360" w:lineRule="exact"/>
        <w:ind w:firstLineChars="0"/>
        <w:rPr>
          <w:rFonts w:ascii="宋体" w:hAnsi="宋体" w:cs="宋体"/>
          <w:bCs/>
          <w:color w:val="auto"/>
          <w:sz w:val="18"/>
          <w:szCs w:val="18"/>
        </w:rPr>
      </w:pPr>
      <w:r>
        <w:rPr>
          <w:rFonts w:ascii="宋体" w:hAnsi="宋体" w:cs="宋体"/>
          <w:bCs/>
          <w:color w:val="auto"/>
          <w:sz w:val="18"/>
          <w:szCs w:val="18"/>
        </w:rPr>
        <w:t xml:space="preserve">没有污染  </w:t>
      </w:r>
      <w:r>
        <w:rPr>
          <w:rFonts w:hint="eastAsia" w:ascii="宋体" w:hAnsi="宋体" w:cs="宋体"/>
          <w:bCs/>
          <w:color w:val="auto"/>
          <w:sz w:val="18"/>
          <w:szCs w:val="18"/>
          <w:lang w:val="en"/>
        </w:rPr>
        <w:t>⑵</w:t>
      </w:r>
      <w:r>
        <w:rPr>
          <w:rFonts w:ascii="宋体" w:hAnsi="宋体" w:cs="宋体"/>
          <w:bCs/>
          <w:color w:val="auto"/>
          <w:sz w:val="18"/>
          <w:szCs w:val="18"/>
        </w:rPr>
        <w:t xml:space="preserve">轻度污染  </w:t>
      </w:r>
      <w:r>
        <w:rPr>
          <w:rFonts w:hint="eastAsia" w:ascii="宋体" w:hAnsi="宋体" w:cs="宋体"/>
          <w:bCs/>
          <w:color w:val="auto"/>
          <w:sz w:val="18"/>
          <w:szCs w:val="18"/>
          <w:lang w:val="en"/>
        </w:rPr>
        <w:t>⑶</w:t>
      </w:r>
      <w:r>
        <w:rPr>
          <w:rFonts w:ascii="宋体" w:hAnsi="宋体" w:cs="宋体"/>
          <w:bCs/>
          <w:color w:val="auto"/>
          <w:sz w:val="18"/>
          <w:szCs w:val="18"/>
        </w:rPr>
        <w:t xml:space="preserve">中度污染  </w:t>
      </w:r>
      <w:r>
        <w:rPr>
          <w:rFonts w:hint="eastAsia" w:ascii="宋体" w:hAnsi="宋体" w:cs="宋体"/>
          <w:bCs/>
          <w:color w:val="auto"/>
          <w:sz w:val="18"/>
          <w:szCs w:val="18"/>
          <w:lang w:val="en"/>
        </w:rPr>
        <w:t>⑷</w:t>
      </w:r>
      <w:r>
        <w:rPr>
          <w:rFonts w:ascii="宋体" w:hAnsi="宋体" w:cs="宋体"/>
          <w:bCs/>
          <w:color w:val="auto"/>
          <w:sz w:val="18"/>
          <w:szCs w:val="18"/>
        </w:rPr>
        <w:t>严重污染</w:t>
      </w:r>
      <w:r>
        <w:rPr>
          <w:rFonts w:hint="eastAsia"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ind w:left="360" w:hanging="360" w:hangingChars="200"/>
        <w:rPr>
          <w:rFonts w:ascii="宋体" w:hAnsi="宋体" w:cs="宋体"/>
          <w:bCs/>
          <w:color w:val="auto"/>
          <w:sz w:val="18"/>
          <w:szCs w:val="18"/>
        </w:rPr>
      </w:pPr>
      <w:r>
        <w:rPr>
          <w:rFonts w:ascii="宋体" w:hAnsi="宋体" w:cs="宋体"/>
          <w:bCs/>
          <w:color w:val="auto"/>
          <w:sz w:val="18"/>
          <w:szCs w:val="18"/>
        </w:rPr>
        <w:t>Q</w:t>
      </w:r>
      <w:r>
        <w:rPr>
          <w:rFonts w:hint="eastAsia" w:ascii="宋体" w:hAnsi="宋体" w:cs="宋体"/>
          <w:bCs/>
          <w:color w:val="auto"/>
          <w:sz w:val="18"/>
          <w:szCs w:val="18"/>
        </w:rPr>
        <w:t>1</w:t>
      </w:r>
      <w:r>
        <w:rPr>
          <w:rFonts w:ascii="宋体" w:hAnsi="宋体" w:cs="宋体"/>
          <w:bCs/>
          <w:color w:val="auto"/>
          <w:sz w:val="18"/>
          <w:szCs w:val="18"/>
        </w:rPr>
        <w:t>3</w:t>
      </w:r>
      <w:r>
        <w:rPr>
          <w:rFonts w:hint="eastAsia" w:ascii="宋体" w:hAnsi="宋体" w:cs="宋体"/>
          <w:bCs/>
          <w:color w:val="auto"/>
          <w:sz w:val="18"/>
          <w:szCs w:val="18"/>
        </w:rPr>
        <w:t>.</w:t>
      </w:r>
      <w:r>
        <w:rPr>
          <w:rFonts w:ascii="宋体" w:hAnsi="宋体" w:cs="宋体"/>
          <w:bCs/>
          <w:color w:val="auto"/>
          <w:sz w:val="18"/>
          <w:szCs w:val="18"/>
        </w:rPr>
        <w:t>您认为所在地区农业污染的程度是？（农业污染：指化肥、农药和农膜的不合理使用造成的土壤和水等污染，以及养鸡、养猪等畜禽养殖造成的污染等。）</w:t>
      </w:r>
    </w:p>
    <w:p>
      <w:pPr>
        <w:pStyle w:val="13"/>
        <w:numPr>
          <w:ilvl w:val="0"/>
          <w:numId w:val="9"/>
        </w:numPr>
        <w:snapToGrid w:val="0"/>
        <w:spacing w:line="360" w:lineRule="exact"/>
        <w:ind w:firstLineChars="0"/>
        <w:rPr>
          <w:rFonts w:ascii="宋体" w:hAnsi="宋体" w:cs="宋体"/>
          <w:bCs/>
          <w:color w:val="auto"/>
          <w:sz w:val="18"/>
          <w:szCs w:val="18"/>
        </w:rPr>
      </w:pPr>
      <w:r>
        <w:rPr>
          <w:rFonts w:ascii="宋体" w:hAnsi="宋体" w:cs="宋体"/>
          <w:bCs/>
          <w:color w:val="auto"/>
          <w:sz w:val="18"/>
          <w:szCs w:val="18"/>
        </w:rPr>
        <w:t xml:space="preserve">没有污染  </w:t>
      </w:r>
      <w:r>
        <w:rPr>
          <w:rFonts w:hint="eastAsia" w:ascii="宋体" w:hAnsi="宋体" w:cs="宋体"/>
          <w:bCs/>
          <w:color w:val="auto"/>
          <w:sz w:val="18"/>
          <w:szCs w:val="18"/>
          <w:lang w:val="en"/>
        </w:rPr>
        <w:t>⑵</w:t>
      </w:r>
      <w:r>
        <w:rPr>
          <w:rFonts w:ascii="宋体" w:hAnsi="宋体" w:cs="宋体"/>
          <w:bCs/>
          <w:color w:val="auto"/>
          <w:sz w:val="18"/>
          <w:szCs w:val="18"/>
        </w:rPr>
        <w:t xml:space="preserve">轻度污染  </w:t>
      </w:r>
      <w:r>
        <w:rPr>
          <w:rFonts w:hint="eastAsia" w:ascii="宋体" w:hAnsi="宋体" w:cs="宋体"/>
          <w:bCs/>
          <w:color w:val="auto"/>
          <w:sz w:val="18"/>
          <w:szCs w:val="18"/>
          <w:lang w:val="en"/>
        </w:rPr>
        <w:t>⑶</w:t>
      </w:r>
      <w:r>
        <w:rPr>
          <w:rFonts w:ascii="宋体" w:hAnsi="宋体" w:cs="宋体"/>
          <w:bCs/>
          <w:color w:val="auto"/>
          <w:sz w:val="18"/>
          <w:szCs w:val="18"/>
        </w:rPr>
        <w:t xml:space="preserve">中度污染  </w:t>
      </w:r>
      <w:r>
        <w:rPr>
          <w:rFonts w:hint="eastAsia" w:ascii="宋体" w:hAnsi="宋体" w:cs="宋体"/>
          <w:bCs/>
          <w:color w:val="auto"/>
          <w:sz w:val="18"/>
          <w:szCs w:val="18"/>
          <w:lang w:val="en"/>
        </w:rPr>
        <w:t>⑷</w:t>
      </w:r>
      <w:r>
        <w:rPr>
          <w:rFonts w:ascii="宋体" w:hAnsi="宋体" w:cs="宋体"/>
          <w:bCs/>
          <w:color w:val="auto"/>
          <w:sz w:val="18"/>
          <w:szCs w:val="18"/>
        </w:rPr>
        <w:t>严重污染</w:t>
      </w:r>
      <w:r>
        <w:rPr>
          <w:rFonts w:hint="eastAsia"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ascii="宋体" w:hAnsi="宋体" w:cs="宋体"/>
          <w:bCs/>
          <w:color w:val="auto"/>
          <w:sz w:val="18"/>
          <w:szCs w:val="18"/>
        </w:rPr>
        <w:t>Q14</w:t>
      </w:r>
      <w:r>
        <w:rPr>
          <w:rFonts w:hint="eastAsia" w:ascii="宋体" w:hAnsi="宋体" w:cs="宋体"/>
          <w:bCs/>
          <w:color w:val="auto"/>
          <w:sz w:val="18"/>
          <w:szCs w:val="18"/>
        </w:rPr>
        <w:t>.</w:t>
      </w:r>
      <w:r>
        <w:rPr>
          <w:rFonts w:hint="eastAsia" w:ascii="宋体" w:hAnsi="宋体" w:cs="宋体"/>
          <w:bCs/>
          <w:color w:val="auto"/>
          <w:kern w:val="0"/>
          <w:sz w:val="18"/>
          <w:szCs w:val="18"/>
        </w:rPr>
        <w:t>&lt;仅提问农村居民&gt;</w:t>
      </w:r>
      <w:r>
        <w:rPr>
          <w:rFonts w:ascii="宋体" w:hAnsi="宋体" w:cs="宋体"/>
          <w:bCs/>
          <w:color w:val="auto"/>
          <w:sz w:val="18"/>
          <w:szCs w:val="18"/>
        </w:rPr>
        <w:t>您对所在地畜禽养殖粪便无害化处理情况</w:t>
      </w:r>
      <w:r>
        <w:rPr>
          <w:rFonts w:hint="eastAsia" w:ascii="宋体" w:hAnsi="宋体" w:cs="宋体"/>
          <w:bCs/>
          <w:color w:val="auto"/>
          <w:sz w:val="18"/>
          <w:szCs w:val="18"/>
        </w:rPr>
        <w:t>的满意程度是：</w:t>
      </w:r>
      <w:bookmarkStart w:id="36" w:name="_GoBack"/>
      <w:bookmarkEnd w:id="36"/>
    </w:p>
    <w:p>
      <w:pPr>
        <w:pStyle w:val="13"/>
        <w:numPr>
          <w:ilvl w:val="0"/>
          <w:numId w:val="10"/>
        </w:numPr>
        <w:snapToGrid w:val="0"/>
        <w:spacing w:line="360" w:lineRule="exact"/>
        <w:ind w:firstLineChars="0"/>
        <w:rPr>
          <w:rFonts w:ascii="宋体" w:hAnsi="宋体" w:cs="宋体"/>
          <w:bCs/>
          <w:color w:val="auto"/>
          <w:sz w:val="18"/>
          <w:szCs w:val="18"/>
        </w:rPr>
      </w:pPr>
      <w:r>
        <w:rPr>
          <w:rFonts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ascii="宋体" w:hAnsi="宋体" w:cs="宋体"/>
          <w:bCs/>
          <w:color w:val="auto"/>
          <w:sz w:val="18"/>
          <w:szCs w:val="18"/>
        </w:rPr>
        <w:t>很不满意</w:t>
      </w:r>
      <w:r>
        <w:rPr>
          <w:rFonts w:hint="eastAsia" w:ascii="宋体" w:hAnsi="宋体" w:cs="宋体"/>
          <w:bCs/>
          <w:color w:val="auto"/>
          <w:sz w:val="18"/>
          <w:szCs w:val="18"/>
        </w:rPr>
        <w:t xml:space="preserve">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ascii="宋体" w:hAnsi="宋体" w:cs="宋体"/>
          <w:bCs/>
          <w:color w:val="auto"/>
          <w:sz w:val="18"/>
          <w:szCs w:val="18"/>
        </w:rPr>
        <w:t>Q15</w:t>
      </w:r>
      <w:r>
        <w:rPr>
          <w:rFonts w:hint="eastAsia" w:ascii="宋体" w:hAnsi="宋体" w:cs="宋体"/>
          <w:bCs/>
          <w:color w:val="auto"/>
          <w:sz w:val="18"/>
          <w:szCs w:val="18"/>
        </w:rPr>
        <w:t>.</w:t>
      </w:r>
      <w:r>
        <w:rPr>
          <w:rFonts w:ascii="宋体" w:hAnsi="宋体" w:cs="宋体"/>
          <w:bCs/>
          <w:color w:val="auto"/>
          <w:sz w:val="18"/>
          <w:szCs w:val="18"/>
        </w:rPr>
        <w:t>您认为本地政府在推进环境信息公开、公众参与监督方面做得如何？</w:t>
      </w:r>
    </w:p>
    <w:p>
      <w:pPr>
        <w:pStyle w:val="13"/>
        <w:numPr>
          <w:ilvl w:val="0"/>
          <w:numId w:val="11"/>
        </w:numPr>
        <w:snapToGrid w:val="0"/>
        <w:spacing w:line="360" w:lineRule="exact"/>
        <w:ind w:firstLineChars="0"/>
        <w:rPr>
          <w:rFonts w:ascii="宋体" w:hAnsi="宋体" w:cs="宋体"/>
          <w:bCs/>
          <w:color w:val="auto"/>
          <w:sz w:val="18"/>
          <w:szCs w:val="18"/>
        </w:rPr>
      </w:pPr>
      <w:r>
        <w:rPr>
          <w:rFonts w:ascii="宋体" w:hAnsi="宋体" w:cs="宋体"/>
          <w:bCs/>
          <w:color w:val="auto"/>
          <w:sz w:val="18"/>
          <w:szCs w:val="18"/>
        </w:rPr>
        <w:t xml:space="preserve">很好   </w:t>
      </w:r>
      <w:r>
        <w:rPr>
          <w:rFonts w:hint="eastAsia" w:ascii="宋体" w:hAnsi="宋体" w:cs="宋体"/>
          <w:bCs/>
          <w:color w:val="auto"/>
          <w:sz w:val="18"/>
          <w:szCs w:val="18"/>
          <w:lang w:val="en"/>
        </w:rPr>
        <w:t>⑵</w:t>
      </w:r>
      <w:r>
        <w:rPr>
          <w:rFonts w:ascii="宋体" w:hAnsi="宋体" w:cs="宋体"/>
          <w:bCs/>
          <w:color w:val="auto"/>
          <w:sz w:val="18"/>
          <w:szCs w:val="18"/>
        </w:rPr>
        <w:t>比较好</w:t>
      </w:r>
      <w:r>
        <w:rPr>
          <w:rFonts w:hint="eastAsia" w:ascii="宋体" w:hAnsi="宋体" w:cs="宋体"/>
          <w:bCs/>
          <w:color w:val="auto"/>
          <w:sz w:val="18"/>
          <w:szCs w:val="18"/>
        </w:rPr>
        <w:t xml:space="preserve">  </w:t>
      </w:r>
      <w:r>
        <w:rPr>
          <w:rFonts w:ascii="宋体" w:hAnsi="宋体" w:cs="宋体"/>
          <w:bCs/>
          <w:color w:val="auto"/>
          <w:sz w:val="18"/>
          <w:szCs w:val="18"/>
        </w:rPr>
        <w:t xml:space="preserve"> </w:t>
      </w:r>
      <w:r>
        <w:rPr>
          <w:rFonts w:hint="eastAsia" w:ascii="宋体" w:hAnsi="宋体" w:cs="宋体"/>
          <w:bCs/>
          <w:color w:val="auto"/>
          <w:sz w:val="18"/>
          <w:szCs w:val="18"/>
          <w:lang w:val="en"/>
        </w:rPr>
        <w:t>⑶</w:t>
      </w:r>
      <w:r>
        <w:rPr>
          <w:rFonts w:ascii="宋体" w:hAnsi="宋体" w:cs="宋体"/>
          <w:bCs/>
          <w:color w:val="auto"/>
          <w:sz w:val="18"/>
          <w:szCs w:val="18"/>
        </w:rPr>
        <w:t>一般</w:t>
      </w:r>
      <w:r>
        <w:rPr>
          <w:rFonts w:hint="eastAsia" w:ascii="宋体" w:hAnsi="宋体" w:cs="宋体"/>
          <w:bCs/>
          <w:color w:val="auto"/>
          <w:sz w:val="18"/>
          <w:szCs w:val="18"/>
        </w:rPr>
        <w:t xml:space="preserve"> </w:t>
      </w:r>
      <w:r>
        <w:rPr>
          <w:rFonts w:ascii="宋体" w:hAnsi="宋体" w:cs="宋体"/>
          <w:bCs/>
          <w:color w:val="auto"/>
          <w:sz w:val="18"/>
          <w:szCs w:val="18"/>
        </w:rPr>
        <w:t xml:space="preserve">   </w:t>
      </w:r>
      <w:r>
        <w:rPr>
          <w:rFonts w:hint="eastAsia" w:ascii="宋体" w:hAnsi="宋体" w:cs="宋体"/>
          <w:bCs/>
          <w:color w:val="auto"/>
          <w:sz w:val="18"/>
          <w:szCs w:val="18"/>
          <w:lang w:val="en"/>
        </w:rPr>
        <w:t>⑷</w:t>
      </w:r>
      <w:r>
        <w:rPr>
          <w:rFonts w:ascii="宋体" w:hAnsi="宋体" w:cs="宋体"/>
          <w:bCs/>
          <w:color w:val="auto"/>
          <w:sz w:val="18"/>
          <w:szCs w:val="18"/>
        </w:rPr>
        <w:t>不太好（不好</w:t>
      </w:r>
      <w:r>
        <w:rPr>
          <w:rFonts w:hint="eastAsia" w:ascii="宋体" w:hAnsi="宋体" w:cs="宋体"/>
          <w:bCs/>
          <w:color w:val="auto"/>
          <w:sz w:val="18"/>
          <w:szCs w:val="18"/>
        </w:rPr>
        <w:t xml:space="preserve">）    </w:t>
      </w:r>
      <w:r>
        <w:rPr>
          <w:rFonts w:ascii="宋体" w:hAnsi="宋体" w:cs="宋体"/>
          <w:bCs/>
          <w:color w:val="auto"/>
          <w:sz w:val="18"/>
          <w:szCs w:val="18"/>
        </w:rPr>
        <w:t>⑤很不好</w:t>
      </w:r>
      <w:r>
        <w:rPr>
          <w:rFonts w:hint="eastAsia" w:ascii="宋体" w:hAnsi="宋体" w:cs="宋体"/>
          <w:bCs/>
          <w:color w:val="auto"/>
          <w:sz w:val="18"/>
          <w:szCs w:val="18"/>
        </w:rPr>
        <w:t xml:space="preserve"> </w:t>
      </w:r>
      <w:r>
        <w:rPr>
          <w:rFonts w:ascii="宋体" w:hAnsi="宋体" w:cs="宋体"/>
          <w:bCs/>
          <w:color w:val="auto"/>
          <w:sz w:val="18"/>
          <w:szCs w:val="18"/>
        </w:rPr>
        <w:t xml:space="preserve"> </w:t>
      </w:r>
      <w:r>
        <w:rPr>
          <w:rFonts w:hint="eastAsia" w:ascii="宋体" w:hAnsi="宋体" w:cs="宋体"/>
          <w:bCs/>
          <w:color w:val="auto"/>
          <w:sz w:val="18"/>
          <w:szCs w:val="18"/>
        </w:rPr>
        <w:t xml:space="preserve"> </w:t>
      </w:r>
      <w:r>
        <w:rPr>
          <w:rFonts w:hint="eastAsia" w:ascii="宋体" w:hAnsi="宋体" w:cs="宋体"/>
          <w:bCs/>
          <w:color w:val="auto"/>
          <w:sz w:val="18"/>
          <w:szCs w:val="18"/>
          <w:lang w:val="en"/>
        </w:rPr>
        <w:t>⑹说</w:t>
      </w:r>
      <w:r>
        <w:rPr>
          <w:rFonts w:hint="eastAsia" w:ascii="宋体" w:hAnsi="宋体" w:cs="宋体"/>
          <w:bCs/>
          <w:color w:val="auto"/>
          <w:sz w:val="18"/>
          <w:szCs w:val="18"/>
        </w:rPr>
        <w:t>不清</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Q1</w:t>
      </w:r>
      <w:r>
        <w:rPr>
          <w:rFonts w:ascii="宋体" w:hAnsi="宋体" w:cs="宋体"/>
          <w:bCs/>
          <w:color w:val="auto"/>
          <w:sz w:val="18"/>
          <w:szCs w:val="18"/>
        </w:rPr>
        <w:t>6</w:t>
      </w:r>
      <w:r>
        <w:rPr>
          <w:rFonts w:hint="eastAsia" w:ascii="宋体" w:hAnsi="宋体" w:cs="宋体"/>
          <w:bCs/>
          <w:color w:val="auto"/>
          <w:sz w:val="18"/>
          <w:szCs w:val="18"/>
        </w:rPr>
        <w:t>.总体来看，您对所在地区 生态环境 的满意程度是：</w:t>
      </w:r>
    </w:p>
    <w:p>
      <w:pPr>
        <w:pStyle w:val="13"/>
        <w:numPr>
          <w:ilvl w:val="0"/>
          <w:numId w:val="12"/>
        </w:numPr>
        <w:tabs>
          <w:tab w:val="left" w:pos="0"/>
        </w:tabs>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非常满意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比较满意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不太满意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很不满意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Q1</w:t>
      </w:r>
      <w:r>
        <w:rPr>
          <w:rFonts w:ascii="宋体" w:hAnsi="宋体" w:cs="宋体"/>
          <w:bCs/>
          <w:color w:val="auto"/>
          <w:sz w:val="18"/>
          <w:szCs w:val="18"/>
        </w:rPr>
        <w:t>7</w:t>
      </w:r>
      <w:r>
        <w:rPr>
          <w:rFonts w:hint="eastAsia" w:ascii="宋体" w:hAnsi="宋体" w:cs="宋体"/>
          <w:bCs/>
          <w:color w:val="auto"/>
          <w:sz w:val="18"/>
          <w:szCs w:val="18"/>
        </w:rPr>
        <w:t>.与去年相比，您认为所在地区的 生态环境有什么变化 ？</w:t>
      </w:r>
    </w:p>
    <w:p>
      <w:pPr>
        <w:pStyle w:val="13"/>
        <w:numPr>
          <w:ilvl w:val="0"/>
          <w:numId w:val="13"/>
        </w:numPr>
        <w:snapToGrid w:val="0"/>
        <w:spacing w:line="360" w:lineRule="exact"/>
        <w:ind w:firstLineChars="0"/>
        <w:rPr>
          <w:rFonts w:ascii="宋体" w:hAnsi="宋体" w:cs="宋体"/>
          <w:bCs/>
          <w:color w:val="auto"/>
          <w:sz w:val="18"/>
          <w:szCs w:val="18"/>
        </w:rPr>
      </w:pPr>
      <w:r>
        <w:rPr>
          <w:rFonts w:hint="eastAsia" w:ascii="宋体" w:hAnsi="宋体" w:cs="宋体"/>
          <w:bCs/>
          <w:color w:val="auto"/>
          <w:sz w:val="18"/>
          <w:szCs w:val="18"/>
        </w:rPr>
        <w:t xml:space="preserve">好很多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好一些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没变化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差一些    </w:t>
      </w:r>
      <w:r>
        <w:rPr>
          <w:rFonts w:hint="eastAsia" w:ascii="宋体" w:hAnsi="宋体" w:cs="宋体"/>
          <w:bCs/>
          <w:color w:val="auto"/>
          <w:sz w:val="18"/>
          <w:szCs w:val="18"/>
        </w:rPr>
        <w:fldChar w:fldCharType="begin"/>
      </w:r>
      <w:r>
        <w:rPr>
          <w:rFonts w:hint="eastAsia" w:ascii="宋体" w:hAnsi="宋体" w:cs="宋体"/>
          <w:bCs/>
          <w:color w:val="auto"/>
          <w:sz w:val="18"/>
          <w:szCs w:val="18"/>
        </w:rPr>
        <w:instrText xml:space="preserve">= 5 \* GB3</w:instrText>
      </w:r>
      <w:r>
        <w:rPr>
          <w:rFonts w:hint="eastAsia" w:ascii="宋体" w:hAnsi="宋体" w:cs="宋体"/>
          <w:bCs/>
          <w:color w:val="auto"/>
          <w:sz w:val="18"/>
          <w:szCs w:val="18"/>
        </w:rPr>
        <w:fldChar w:fldCharType="separate"/>
      </w:r>
      <w:r>
        <w:rPr>
          <w:rFonts w:hint="eastAsia" w:ascii="宋体" w:hAnsi="宋体" w:cs="宋体"/>
          <w:bCs/>
          <w:color w:val="auto"/>
          <w:sz w:val="18"/>
          <w:szCs w:val="18"/>
          <w:lang w:val="en"/>
        </w:rPr>
        <w:t>⑸</w:t>
      </w:r>
      <w:r>
        <w:rPr>
          <w:rFonts w:hint="eastAsia" w:ascii="宋体" w:hAnsi="宋体" w:cs="宋体"/>
          <w:bCs/>
          <w:color w:val="auto"/>
          <w:sz w:val="18"/>
          <w:szCs w:val="18"/>
        </w:rPr>
        <w:fldChar w:fldCharType="end"/>
      </w:r>
      <w:r>
        <w:rPr>
          <w:rFonts w:hint="eastAsia" w:ascii="宋体" w:hAnsi="宋体" w:cs="宋体"/>
          <w:bCs/>
          <w:color w:val="auto"/>
          <w:sz w:val="18"/>
          <w:szCs w:val="18"/>
        </w:rPr>
        <w:t xml:space="preserve">差很多    </w:t>
      </w:r>
      <w:r>
        <w:rPr>
          <w:rFonts w:hint="eastAsia" w:ascii="宋体" w:hAnsi="宋体" w:cs="宋体"/>
          <w:bCs/>
          <w:color w:val="auto"/>
          <w:sz w:val="18"/>
          <w:szCs w:val="18"/>
          <w:lang w:val="en"/>
        </w:rPr>
        <w:t>⑹</w:t>
      </w:r>
      <w:r>
        <w:rPr>
          <w:rFonts w:hint="eastAsia" w:ascii="宋体" w:hAnsi="宋体" w:cs="宋体"/>
          <w:bCs/>
          <w:color w:val="auto"/>
          <w:sz w:val="18"/>
          <w:szCs w:val="18"/>
        </w:rPr>
        <w:t>不清楚或不了解（不读出）</w:t>
      </w:r>
    </w:p>
    <w:p>
      <w:pPr>
        <w:snapToGrid w:val="0"/>
        <w:spacing w:line="360" w:lineRule="exact"/>
        <w:rPr>
          <w:rFonts w:ascii="宋体" w:hAnsi="宋体" w:cs="宋体"/>
          <w:bCs/>
          <w:color w:val="auto"/>
          <w:sz w:val="18"/>
          <w:szCs w:val="18"/>
        </w:rPr>
      </w:pPr>
      <w:r>
        <w:rPr>
          <w:rFonts w:hint="eastAsia" w:ascii="宋体" w:hAnsi="宋体" w:cs="宋体"/>
          <w:bCs/>
          <w:color w:val="auto"/>
          <w:sz w:val="18"/>
          <w:szCs w:val="18"/>
        </w:rPr>
        <w:t>Q1</w:t>
      </w:r>
      <w:r>
        <w:rPr>
          <w:rFonts w:ascii="宋体" w:hAnsi="宋体" w:cs="宋体"/>
          <w:bCs/>
          <w:color w:val="auto"/>
          <w:sz w:val="18"/>
          <w:szCs w:val="18"/>
        </w:rPr>
        <w:t>8.</w:t>
      </w:r>
      <w:r>
        <w:rPr>
          <w:rFonts w:hint="eastAsia" w:ascii="宋体" w:hAnsi="宋体" w:cs="宋体"/>
          <w:bCs/>
          <w:color w:val="auto"/>
          <w:sz w:val="18"/>
          <w:szCs w:val="18"/>
        </w:rPr>
        <w:t>总体来看，您认为所在地区政府对 生态文明建设的重视程度是：</w:t>
      </w:r>
    </w:p>
    <w:p>
      <w:pPr>
        <w:snapToGrid w:val="0"/>
        <w:spacing w:line="360" w:lineRule="exact"/>
        <w:ind w:firstLine="360" w:firstLineChars="200"/>
        <w:rPr>
          <w:rFonts w:ascii="宋体" w:hAnsi="宋体" w:cs="宋体"/>
          <w:bCs/>
          <w:color w:val="auto"/>
          <w:sz w:val="18"/>
          <w:szCs w:val="18"/>
        </w:rPr>
      </w:pPr>
      <w:r>
        <w:rPr>
          <w:rFonts w:hint="eastAsia" w:ascii="宋体" w:hAnsi="宋体" w:cs="宋体"/>
          <w:bCs/>
          <w:color w:val="auto"/>
          <w:sz w:val="18"/>
          <w:szCs w:val="18"/>
          <w:lang w:val="en"/>
        </w:rPr>
        <w:t>⑴</w:t>
      </w:r>
      <w:r>
        <w:rPr>
          <w:rFonts w:hint="eastAsia" w:ascii="宋体" w:hAnsi="宋体" w:cs="宋体"/>
          <w:bCs/>
          <w:color w:val="auto"/>
          <w:sz w:val="18"/>
          <w:szCs w:val="18"/>
        </w:rPr>
        <w:t xml:space="preserve">非常重视    </w:t>
      </w:r>
      <w:r>
        <w:rPr>
          <w:rFonts w:hint="eastAsia" w:ascii="宋体" w:hAnsi="宋体" w:cs="宋体"/>
          <w:bCs/>
          <w:color w:val="auto"/>
          <w:sz w:val="18"/>
          <w:szCs w:val="18"/>
          <w:lang w:val="en"/>
        </w:rPr>
        <w:t>⑵</w:t>
      </w:r>
      <w:r>
        <w:rPr>
          <w:rFonts w:hint="eastAsia" w:ascii="宋体" w:hAnsi="宋体" w:cs="宋体"/>
          <w:bCs/>
          <w:color w:val="auto"/>
          <w:sz w:val="18"/>
          <w:szCs w:val="18"/>
        </w:rPr>
        <w:t xml:space="preserve">比较重视    </w:t>
      </w:r>
      <w:r>
        <w:rPr>
          <w:rFonts w:hint="eastAsia" w:ascii="宋体" w:hAnsi="宋体" w:cs="宋体"/>
          <w:bCs/>
          <w:color w:val="auto"/>
          <w:sz w:val="18"/>
          <w:szCs w:val="18"/>
          <w:lang w:val="en"/>
        </w:rPr>
        <w:t>⑶</w:t>
      </w:r>
      <w:r>
        <w:rPr>
          <w:rFonts w:hint="eastAsia" w:ascii="宋体" w:hAnsi="宋体" w:cs="宋体"/>
          <w:bCs/>
          <w:color w:val="auto"/>
          <w:sz w:val="18"/>
          <w:szCs w:val="18"/>
        </w:rPr>
        <w:t xml:space="preserve">不太重视    </w:t>
      </w:r>
      <w:r>
        <w:rPr>
          <w:rFonts w:hint="eastAsia" w:ascii="宋体" w:hAnsi="宋体" w:cs="宋体"/>
          <w:bCs/>
          <w:color w:val="auto"/>
          <w:sz w:val="18"/>
          <w:szCs w:val="18"/>
          <w:lang w:val="en"/>
        </w:rPr>
        <w:t>⑷</w:t>
      </w:r>
      <w:r>
        <w:rPr>
          <w:rFonts w:hint="eastAsia" w:ascii="宋体" w:hAnsi="宋体" w:cs="宋体"/>
          <w:bCs/>
          <w:color w:val="auto"/>
          <w:sz w:val="18"/>
          <w:szCs w:val="18"/>
        </w:rPr>
        <w:t xml:space="preserve">很不重视    </w:t>
      </w:r>
      <w:r>
        <w:rPr>
          <w:rFonts w:hint="eastAsia" w:ascii="宋体" w:hAnsi="宋体" w:cs="宋体"/>
          <w:bCs/>
          <w:color w:val="auto"/>
          <w:sz w:val="18"/>
          <w:szCs w:val="18"/>
          <w:lang w:val="en"/>
        </w:rPr>
        <w:t>⑸</w:t>
      </w:r>
      <w:r>
        <w:rPr>
          <w:rFonts w:hint="eastAsia" w:ascii="宋体" w:hAnsi="宋体" w:cs="宋体"/>
          <w:bCs/>
          <w:color w:val="auto"/>
          <w:sz w:val="18"/>
          <w:szCs w:val="18"/>
        </w:rPr>
        <w:t>不清楚或不了解（不读出）</w:t>
      </w:r>
    </w:p>
    <w:p>
      <w:pPr>
        <w:tabs>
          <w:tab w:val="left" w:pos="0"/>
        </w:tabs>
        <w:snapToGrid w:val="0"/>
        <w:spacing w:line="360" w:lineRule="exact"/>
        <w:jc w:val="left"/>
        <w:rPr>
          <w:color w:val="auto"/>
          <w:sz w:val="18"/>
          <w:szCs w:val="18"/>
        </w:rPr>
      </w:pPr>
    </w:p>
    <w:p>
      <w:pPr>
        <w:jc w:val="center"/>
        <w:rPr>
          <w:rFonts w:ascii="黑体" w:hAnsi="黑体" w:eastAsia="黑体"/>
          <w:color w:val="auto"/>
          <w:sz w:val="32"/>
        </w:rPr>
      </w:pPr>
      <w:r>
        <w:rPr>
          <w:rFonts w:hint="eastAsia" w:ascii="黑体" w:hAnsi="黑体" w:eastAsia="黑体"/>
          <w:color w:val="auto"/>
          <w:sz w:val="32"/>
        </w:rPr>
        <w:br w:type="page"/>
      </w:r>
      <w:r>
        <w:rPr>
          <w:rFonts w:hint="eastAsia" w:ascii="黑体" w:hAnsi="黑体" w:eastAsia="黑体"/>
          <w:color w:val="auto"/>
          <w:sz w:val="32"/>
        </w:rPr>
        <w:t>四、主要指标解释</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Q2</w:t>
      </w:r>
      <w:r>
        <w:rPr>
          <w:rFonts w:hint="eastAsia" w:ascii="宋体" w:hAnsi="宋体"/>
          <w:b/>
          <w:bCs/>
          <w:color w:val="auto"/>
          <w:szCs w:val="21"/>
        </w:rPr>
        <w:t>.饮用水水质</w:t>
      </w:r>
    </w:p>
    <w:p>
      <w:pPr>
        <w:snapToGrid w:val="0"/>
        <w:spacing w:line="360" w:lineRule="exact"/>
        <w:ind w:firstLine="420" w:firstLineChars="200"/>
        <w:rPr>
          <w:rFonts w:ascii="宋体" w:hAnsi="宋体"/>
          <w:color w:val="auto"/>
          <w:szCs w:val="21"/>
        </w:rPr>
      </w:pPr>
      <w:r>
        <w:rPr>
          <w:rFonts w:hint="eastAsia" w:ascii="宋体" w:hAnsi="宋体"/>
          <w:color w:val="auto"/>
          <w:szCs w:val="21"/>
        </w:rPr>
        <w:t>卫生部和国家标准化管理委员会联合发布国家《生活饮用水卫生标准》中有关定义和规定：</w:t>
      </w:r>
    </w:p>
    <w:p>
      <w:pPr>
        <w:snapToGrid w:val="0"/>
        <w:spacing w:line="360" w:lineRule="exact"/>
        <w:ind w:firstLine="420" w:firstLineChars="200"/>
        <w:rPr>
          <w:rFonts w:ascii="宋体" w:hAnsi="宋体"/>
          <w:color w:val="auto"/>
          <w:szCs w:val="21"/>
        </w:rPr>
      </w:pPr>
      <w:r>
        <w:rPr>
          <w:rFonts w:hint="eastAsia" w:ascii="宋体" w:hAnsi="宋体"/>
          <w:color w:val="auto"/>
          <w:szCs w:val="21"/>
        </w:rPr>
        <w:t>生活饮用水指供人生活的饮水和生活用水。</w:t>
      </w:r>
    </w:p>
    <w:p>
      <w:pPr>
        <w:snapToGrid w:val="0"/>
        <w:spacing w:line="360" w:lineRule="exact"/>
        <w:ind w:firstLine="420" w:firstLineChars="200"/>
        <w:rPr>
          <w:rFonts w:ascii="宋体" w:hAnsi="宋体"/>
          <w:color w:val="auto"/>
          <w:szCs w:val="21"/>
        </w:rPr>
      </w:pPr>
      <w:r>
        <w:rPr>
          <w:rFonts w:hint="eastAsia" w:ascii="宋体" w:hAnsi="宋体"/>
          <w:color w:val="auto"/>
          <w:szCs w:val="21"/>
        </w:rPr>
        <w:t>生活饮用水水质卫生要求。生活饮用水水质应符合下列基本要求，保证用户饮用安全：生活饮用水中不得含有病原微生物，生活饮用水中化学物质不得危害人体健康，生活饮用水中放射性物质不得危害人体健康，生活饮用水的感官性状良好，生活饮用水应经消毒处理。</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3</w:t>
      </w:r>
      <w:r>
        <w:rPr>
          <w:rFonts w:hint="eastAsia" w:ascii="宋体" w:hAnsi="宋体"/>
          <w:b/>
          <w:bCs/>
          <w:color w:val="auto"/>
          <w:szCs w:val="21"/>
        </w:rPr>
        <w:t>.河流、湖泊或附近海域环境状况</w:t>
      </w:r>
    </w:p>
    <w:p>
      <w:pPr>
        <w:snapToGrid w:val="0"/>
        <w:spacing w:line="360" w:lineRule="exact"/>
        <w:ind w:firstLine="422" w:firstLineChars="200"/>
        <w:rPr>
          <w:rFonts w:ascii="宋体" w:hAnsi="宋体"/>
          <w:b/>
          <w:bCs/>
          <w:color w:val="auto"/>
          <w:szCs w:val="21"/>
        </w:rPr>
      </w:pPr>
      <w:r>
        <w:rPr>
          <w:rFonts w:hint="eastAsia" w:ascii="宋体" w:hAnsi="宋体"/>
          <w:b/>
          <w:bCs/>
          <w:color w:val="auto"/>
          <w:szCs w:val="21"/>
          <w:u w:val="single"/>
        </w:rPr>
        <w:t>指是否存在向河流、湖泊或附近海域排入污染物导致水质恶化的现象。</w:t>
      </w:r>
    </w:p>
    <w:p>
      <w:pPr>
        <w:snapToGrid w:val="0"/>
        <w:spacing w:line="360" w:lineRule="exact"/>
        <w:ind w:firstLine="420" w:firstLineChars="200"/>
        <w:rPr>
          <w:rFonts w:ascii="宋体" w:hAnsi="宋体"/>
          <w:color w:val="auto"/>
          <w:szCs w:val="21"/>
        </w:rPr>
      </w:pPr>
      <w:r>
        <w:rPr>
          <w:rFonts w:hint="eastAsia" w:ascii="宋体" w:hAnsi="宋体"/>
          <w:color w:val="auto"/>
          <w:szCs w:val="21"/>
        </w:rPr>
        <w:t>河流污染是指直接或间接排入河流的污染物造成河水水质恶化的现象，进而影响河流环境。</w:t>
      </w:r>
    </w:p>
    <w:p>
      <w:pPr>
        <w:snapToGrid w:val="0"/>
        <w:spacing w:line="360" w:lineRule="exact"/>
        <w:ind w:firstLine="420" w:firstLineChars="200"/>
        <w:rPr>
          <w:rFonts w:ascii="宋体" w:hAnsi="宋体"/>
          <w:color w:val="auto"/>
          <w:szCs w:val="21"/>
        </w:rPr>
      </w:pPr>
      <w:r>
        <w:rPr>
          <w:rFonts w:hint="eastAsia" w:ascii="宋体" w:hAnsi="宋体"/>
          <w:color w:val="auto"/>
          <w:szCs w:val="21"/>
        </w:rPr>
        <w:t>湖泊污染是由于污水流入使湖泊受到污染的现象。当汇入湖泊的污水过多而超过湖水的自净能力时，湖水发生水质的变化，使湖泊环境严重恶化，出现了富营养化、有机污染、湖面萎缩、水量剧减、沼泽化等环境问题，严重地影响湖泊水资源的有效利用，进而破坏了湖泊生态环境。</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4</w:t>
      </w:r>
      <w:r>
        <w:rPr>
          <w:rFonts w:hint="eastAsia" w:ascii="宋体" w:hAnsi="宋体"/>
          <w:b/>
          <w:bCs/>
          <w:color w:val="auto"/>
          <w:szCs w:val="21"/>
        </w:rPr>
        <w:t>.土壤环境质量</w:t>
      </w:r>
    </w:p>
    <w:p>
      <w:pPr>
        <w:snapToGrid w:val="0"/>
        <w:spacing w:line="360" w:lineRule="exact"/>
        <w:ind w:firstLine="422" w:firstLineChars="200"/>
        <w:rPr>
          <w:rFonts w:ascii="宋体" w:hAnsi="宋体"/>
          <w:b/>
          <w:bCs/>
          <w:color w:val="auto"/>
          <w:szCs w:val="21"/>
          <w:u w:val="single"/>
        </w:rPr>
      </w:pPr>
      <w:r>
        <w:rPr>
          <w:rFonts w:hint="eastAsia" w:ascii="宋体" w:hAnsi="宋体"/>
          <w:b/>
          <w:bCs/>
          <w:color w:val="auto"/>
          <w:szCs w:val="21"/>
          <w:u w:val="single"/>
        </w:rPr>
        <w:t>如是否存在工矿企业废水、废气、废渣排放污染耕地的情况，假冒伪劣农药、化肥是否严重等。</w:t>
      </w:r>
    </w:p>
    <w:p>
      <w:pPr>
        <w:snapToGrid w:val="0"/>
        <w:spacing w:line="360" w:lineRule="exact"/>
        <w:ind w:firstLine="420" w:firstLineChars="200"/>
        <w:rPr>
          <w:rFonts w:ascii="宋体" w:hAnsi="宋体"/>
          <w:color w:val="auto"/>
          <w:szCs w:val="21"/>
        </w:rPr>
      </w:pPr>
      <w:r>
        <w:rPr>
          <w:rFonts w:hint="eastAsia" w:ascii="宋体" w:hAnsi="宋体"/>
          <w:color w:val="auto"/>
          <w:szCs w:val="21"/>
        </w:rPr>
        <w:t>土壤环境质量，是指在一个具体的环境内，土壤环境对人群和其他生物的生存和繁衍以及社会经济发展的适宜程度。对土壤环境质量的理解：</w:t>
      </w:r>
      <w:r>
        <w:rPr>
          <w:rFonts w:hint="eastAsia" w:ascii="宋体" w:hAnsi="宋体"/>
          <w:color w:val="auto"/>
          <w:szCs w:val="21"/>
          <w:lang w:val="en"/>
        </w:rPr>
        <w:t>①</w:t>
      </w:r>
      <w:r>
        <w:rPr>
          <w:rFonts w:hint="eastAsia" w:ascii="宋体" w:hAnsi="宋体"/>
          <w:color w:val="auto"/>
          <w:szCs w:val="21"/>
        </w:rPr>
        <w:t>“环境污染”问题在20世纪70年代提出后，常用土壤环境质量的好坏来表示土壤环境遭受污染的程度。②把土壤环境质量问题理解为土壤环境退化问题，不仅包括污染退化，还包括土壤侵蚀、土壤沙化、土壤盐碱化、土壤酸化等退化问题。</w:t>
      </w:r>
    </w:p>
    <w:p>
      <w:pPr>
        <w:snapToGrid w:val="0"/>
        <w:spacing w:line="360" w:lineRule="exact"/>
        <w:ind w:firstLine="420" w:firstLineChars="200"/>
        <w:rPr>
          <w:rFonts w:ascii="宋体" w:hAnsi="宋体"/>
          <w:color w:val="auto"/>
          <w:szCs w:val="21"/>
        </w:rPr>
      </w:pPr>
      <w:r>
        <w:rPr>
          <w:rFonts w:hint="eastAsia" w:ascii="宋体" w:hAnsi="宋体"/>
          <w:color w:val="auto"/>
          <w:szCs w:val="21"/>
        </w:rPr>
        <w:t>土壤污染物是能使土壤遭受污染的物质。土壤污染物的种类：</w:t>
      </w:r>
      <w:r>
        <w:rPr>
          <w:rFonts w:hint="eastAsia" w:ascii="宋体" w:hAnsi="宋体"/>
          <w:color w:val="auto"/>
          <w:szCs w:val="21"/>
          <w:lang w:val="en"/>
        </w:rPr>
        <w:t>①</w:t>
      </w:r>
      <w:r>
        <w:rPr>
          <w:rFonts w:hint="eastAsia" w:ascii="宋体" w:hAnsi="宋体"/>
          <w:color w:val="auto"/>
          <w:szCs w:val="21"/>
        </w:rPr>
        <w:t>有机污染物。农药是主要有机污染物，有些有机污染物能在土壤中长期残留，并在生物体内富集，其危害是严重的。②无机污染物。主要来自进入土壤中的工业废水和固体废物。③重金属污染物。汞、镉、铅、砷、铬、锌等重金属会引起土壤污染。④固体废物。主要指城市垃圾和矿渣、煤渣、煤矸石和粉煤灰等工业废渣，城市垃圾中的废塑料包装物已成为严重的“白色污染”物。⑤病源微生物。生活和医院污水、生物制品、制革与屠宰的工业废水、人畜的粪便等是土壤中病原微生物的主要来源。⑥放射性污染物。主要有两个方面，一是核试验，二是原子能工业中所排出的“三废”。</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6</w:t>
      </w:r>
      <w:r>
        <w:rPr>
          <w:rFonts w:hint="eastAsia" w:ascii="宋体" w:hAnsi="宋体"/>
          <w:b/>
          <w:bCs/>
          <w:color w:val="auto"/>
          <w:szCs w:val="21"/>
        </w:rPr>
        <w:t>.污水处理</w:t>
      </w:r>
    </w:p>
    <w:p>
      <w:pPr>
        <w:snapToGrid w:val="0"/>
        <w:spacing w:line="360" w:lineRule="exact"/>
        <w:ind w:firstLine="422" w:firstLineChars="200"/>
        <w:rPr>
          <w:rFonts w:ascii="宋体" w:hAnsi="宋体"/>
          <w:b/>
          <w:bCs/>
          <w:color w:val="auto"/>
          <w:szCs w:val="21"/>
          <w:u w:val="single"/>
        </w:rPr>
      </w:pPr>
      <w:r>
        <w:rPr>
          <w:rFonts w:hint="eastAsia" w:ascii="宋体" w:hAnsi="宋体"/>
          <w:b/>
          <w:bCs/>
          <w:color w:val="auto"/>
          <w:szCs w:val="21"/>
          <w:u w:val="single"/>
        </w:rPr>
        <w:t>污水处理情况：指对工业、生活污水的收集、净化处理后，日常生活中不受污水困扰的情况。</w:t>
      </w:r>
    </w:p>
    <w:p>
      <w:pPr>
        <w:snapToGrid w:val="0"/>
        <w:spacing w:line="360" w:lineRule="exact"/>
        <w:ind w:firstLine="420" w:firstLineChars="200"/>
        <w:rPr>
          <w:rFonts w:ascii="宋体" w:hAnsi="宋体"/>
          <w:color w:val="auto"/>
          <w:szCs w:val="21"/>
        </w:rPr>
      </w:pPr>
      <w:r>
        <w:rPr>
          <w:rFonts w:hint="eastAsia" w:ascii="宋体" w:hAnsi="宋体"/>
          <w:color w:val="auto"/>
          <w:szCs w:val="21"/>
        </w:rPr>
        <w:t>污水处理是指为使污水达到排入某一水体或再次使用的水质要求对其进行净化的过程。按污水来源分类，污水处理一般分为生产污水处理和生活污水处理。生产污水包括工业污水、农业污水以及医疗污水等。污染物主要有：</w:t>
      </w:r>
      <w:r>
        <w:rPr>
          <w:rFonts w:hint="eastAsia" w:ascii="宋体" w:hAnsi="宋体"/>
          <w:color w:val="auto"/>
          <w:szCs w:val="21"/>
          <w:lang w:val="en"/>
        </w:rPr>
        <w:t>①</w:t>
      </w:r>
      <w:r>
        <w:rPr>
          <w:rFonts w:hint="eastAsia" w:ascii="宋体" w:hAnsi="宋体"/>
          <w:color w:val="auto"/>
          <w:szCs w:val="21"/>
        </w:rPr>
        <w:t>未经处理而排放的工业废水；②未经处理而排放的生活污水；③大量使用化肥、农药、除草剂的农田污水；④堆放在河边的工业废弃物和生活垃圾；⑤水土流失；⑥矿山污水。</w:t>
      </w:r>
    </w:p>
    <w:p>
      <w:pPr>
        <w:snapToGrid w:val="0"/>
        <w:spacing w:line="360" w:lineRule="exact"/>
        <w:ind w:firstLine="420" w:firstLineChars="200"/>
        <w:rPr>
          <w:rFonts w:ascii="宋体" w:hAnsi="宋体"/>
          <w:color w:val="auto"/>
          <w:szCs w:val="21"/>
        </w:rPr>
      </w:pPr>
      <w:r>
        <w:rPr>
          <w:rFonts w:hint="eastAsia" w:ascii="宋体" w:hAnsi="宋体"/>
          <w:color w:val="auto"/>
          <w:szCs w:val="21"/>
        </w:rPr>
        <w:t>污水集中处理是指城市/农村通过排水管网收集生产、生活产生的污水（有时也包括雨水）并输送到污水处理厂进行集中处理。城市污水集中处理系统比较完善，农村缺乏相应的污水处理系统。</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7</w:t>
      </w:r>
      <w:r>
        <w:rPr>
          <w:rFonts w:hint="eastAsia" w:ascii="宋体" w:hAnsi="宋体"/>
          <w:b/>
          <w:bCs/>
          <w:color w:val="auto"/>
          <w:szCs w:val="21"/>
        </w:rPr>
        <w:t>.生活垃圾处理</w:t>
      </w:r>
    </w:p>
    <w:p>
      <w:pPr>
        <w:snapToGrid w:val="0"/>
        <w:spacing w:line="360" w:lineRule="exact"/>
        <w:ind w:firstLine="422" w:firstLineChars="200"/>
        <w:rPr>
          <w:rFonts w:ascii="宋体" w:hAnsi="宋体"/>
          <w:b/>
          <w:bCs/>
          <w:color w:val="auto"/>
          <w:szCs w:val="21"/>
          <w:u w:val="single"/>
        </w:rPr>
      </w:pPr>
      <w:r>
        <w:rPr>
          <w:rFonts w:hint="eastAsia" w:ascii="宋体" w:hAnsi="宋体"/>
          <w:b/>
          <w:bCs/>
          <w:color w:val="auto"/>
          <w:szCs w:val="21"/>
          <w:u w:val="single"/>
        </w:rPr>
        <w:t>生活垃圾处理情况：指对生活中垃圾的集中收集、运输、处理后，日常生活中不受生活垃圾困扰的情况。</w:t>
      </w:r>
    </w:p>
    <w:p>
      <w:pPr>
        <w:snapToGrid w:val="0"/>
        <w:spacing w:line="360" w:lineRule="exact"/>
        <w:ind w:firstLine="420" w:firstLineChars="200"/>
        <w:rPr>
          <w:rFonts w:ascii="宋体" w:hAnsi="宋体"/>
          <w:color w:val="auto"/>
          <w:szCs w:val="21"/>
        </w:rPr>
      </w:pPr>
      <w:r>
        <w:rPr>
          <w:rFonts w:hint="eastAsia" w:ascii="宋体" w:hAnsi="宋体"/>
          <w:color w:val="auto"/>
          <w:szCs w:val="21"/>
        </w:rPr>
        <w:t>国务院批转住房城乡建设部等部门《关于进一步加强城市生活垃圾处理工作意见的通知》【国发〔2011〕9号】有关规定：</w:t>
      </w:r>
    </w:p>
    <w:p>
      <w:pPr>
        <w:snapToGrid w:val="0"/>
        <w:spacing w:line="360" w:lineRule="exact"/>
        <w:ind w:firstLine="420" w:firstLineChars="200"/>
        <w:rPr>
          <w:rFonts w:ascii="宋体" w:hAnsi="宋体"/>
          <w:color w:val="auto"/>
          <w:szCs w:val="21"/>
        </w:rPr>
      </w:pPr>
      <w:r>
        <w:rPr>
          <w:rFonts w:hint="eastAsia" w:ascii="宋体" w:hAnsi="宋体"/>
          <w:color w:val="auto"/>
          <w:szCs w:val="21"/>
        </w:rPr>
        <w:t>推进城市生活垃圾处理设施一体化建设和网络化发展，基本实现县县建有生活垃圾处理设施。各城市要编制生活垃圾处理设施规划，统筹安排城市生活垃圾收集、处置设施的布局、用地和规模，并纳入土地利用总体规划、城市总体规划和近期建设规划。</w:t>
      </w:r>
    </w:p>
    <w:p>
      <w:pPr>
        <w:snapToGrid w:val="0"/>
        <w:spacing w:line="360" w:lineRule="exact"/>
        <w:ind w:firstLine="420" w:firstLineChars="200"/>
        <w:rPr>
          <w:rFonts w:ascii="宋体" w:hAnsi="宋体"/>
          <w:color w:val="auto"/>
          <w:szCs w:val="21"/>
        </w:rPr>
      </w:pPr>
      <w:r>
        <w:rPr>
          <w:rFonts w:hint="eastAsia" w:ascii="宋体" w:hAnsi="宋体"/>
          <w:color w:val="auto"/>
          <w:szCs w:val="21"/>
        </w:rPr>
        <w:t>完善收运网络。建立与垃圾分类、资源化利用以及无害化处理相衔接的生活垃圾收运网络，加大生活垃圾收集力度，扩大收集覆盖面。推广密闭、环保、高效的生活垃圾收集、中转和运输系统，逐步淘汰敞开式收运方式。要对现有生活垃圾收运设施实施升级改造，推广压缩式收运设备，解决垃圾收集、中转和运输过程中的脏、臭、噪声和遗洒等问题。研究运用物联网技术，探索线路优化、成本合理、高效环保的收运新模式。</w:t>
      </w:r>
    </w:p>
    <w:p>
      <w:pPr>
        <w:snapToGrid w:val="0"/>
        <w:spacing w:line="360" w:lineRule="exact"/>
        <w:ind w:firstLine="420" w:firstLineChars="200"/>
        <w:rPr>
          <w:rFonts w:ascii="宋体" w:hAnsi="宋体"/>
          <w:color w:val="auto"/>
          <w:szCs w:val="21"/>
        </w:rPr>
      </w:pPr>
      <w:r>
        <w:rPr>
          <w:rFonts w:hint="eastAsia" w:ascii="宋体" w:hAnsi="宋体"/>
          <w:color w:val="auto"/>
          <w:szCs w:val="21"/>
        </w:rPr>
        <w:t>城市/农村生活垃圾集中处理包括生活垃圾集中收运网络建设和完善程度，集中处理设施建设和完善程度，垃圾集中处理管理和处理方式。</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8</w:t>
      </w:r>
      <w:r>
        <w:rPr>
          <w:rFonts w:hint="eastAsia" w:ascii="宋体" w:hAnsi="宋体"/>
          <w:b/>
          <w:bCs/>
          <w:color w:val="auto"/>
          <w:szCs w:val="21"/>
        </w:rPr>
        <w:t>.家用卫生厕所的建设和改造</w:t>
      </w:r>
    </w:p>
    <w:p>
      <w:pPr>
        <w:snapToGrid w:val="0"/>
        <w:spacing w:line="360" w:lineRule="exact"/>
        <w:ind w:firstLine="422" w:firstLineChars="200"/>
        <w:rPr>
          <w:rFonts w:ascii="宋体" w:hAnsi="宋体"/>
          <w:b/>
          <w:bCs/>
          <w:color w:val="auto"/>
          <w:szCs w:val="21"/>
          <w:u w:val="single"/>
        </w:rPr>
      </w:pPr>
      <w:r>
        <w:rPr>
          <w:rFonts w:hint="eastAsia" w:ascii="宋体" w:hAnsi="宋体"/>
          <w:b/>
          <w:bCs/>
          <w:color w:val="auto"/>
          <w:szCs w:val="21"/>
          <w:u w:val="single"/>
        </w:rPr>
        <w:t>家用卫生厕所的建设和改造：指对居民家中厕所进行无害化改造，对粪污进行处理或资源化利用。</w:t>
      </w:r>
    </w:p>
    <w:p>
      <w:pPr>
        <w:snapToGrid w:val="0"/>
        <w:spacing w:line="360" w:lineRule="exact"/>
        <w:ind w:firstLine="422" w:firstLineChars="200"/>
        <w:rPr>
          <w:rFonts w:ascii="宋体" w:hAnsi="宋体"/>
          <w:b/>
          <w:bCs/>
          <w:color w:val="auto"/>
          <w:szCs w:val="21"/>
        </w:rPr>
      </w:pPr>
      <w:r>
        <w:rPr>
          <w:rFonts w:hint="eastAsia" w:ascii="黑体" w:hAnsi="黑体" w:eastAsia="黑体" w:cs="黑体"/>
          <w:b/>
          <w:bCs/>
          <w:color w:val="auto"/>
          <w:szCs w:val="21"/>
          <w:lang w:val="en"/>
        </w:rPr>
        <w:t>Q</w:t>
      </w:r>
      <w:r>
        <w:rPr>
          <w:rFonts w:ascii="黑体" w:hAnsi="黑体" w:eastAsia="黑体" w:cs="黑体"/>
          <w:b/>
          <w:bCs/>
          <w:color w:val="auto"/>
          <w:szCs w:val="21"/>
          <w:lang w:val="en"/>
        </w:rPr>
        <w:t>9</w:t>
      </w:r>
      <w:r>
        <w:rPr>
          <w:rFonts w:hint="eastAsia" w:ascii="宋体" w:hAnsi="宋体"/>
          <w:b/>
          <w:bCs/>
          <w:color w:val="auto"/>
          <w:szCs w:val="21"/>
        </w:rPr>
        <w:t>.噪音影响情况（声环境质量）</w:t>
      </w:r>
    </w:p>
    <w:p>
      <w:pPr>
        <w:snapToGrid w:val="0"/>
        <w:spacing w:line="360" w:lineRule="exact"/>
        <w:ind w:firstLine="422" w:firstLineChars="200"/>
        <w:rPr>
          <w:rFonts w:ascii="宋体" w:hAnsi="宋体"/>
          <w:b/>
          <w:bCs/>
          <w:color w:val="auto"/>
          <w:szCs w:val="21"/>
          <w:u w:val="single"/>
        </w:rPr>
      </w:pPr>
      <w:r>
        <w:rPr>
          <w:rFonts w:hint="eastAsia" w:ascii="宋体" w:hAnsi="宋体"/>
          <w:b/>
          <w:bCs/>
          <w:color w:val="auto"/>
          <w:szCs w:val="21"/>
          <w:u w:val="single"/>
        </w:rPr>
        <w:t>指是否存在交通、建筑施工、娱乐场所噪音等造成不良影响的情况。</w:t>
      </w:r>
    </w:p>
    <w:p>
      <w:pPr>
        <w:snapToGrid w:val="0"/>
        <w:spacing w:line="360" w:lineRule="exact"/>
        <w:ind w:firstLine="420" w:firstLineChars="200"/>
        <w:rPr>
          <w:rFonts w:ascii="宋体" w:hAnsi="宋体"/>
          <w:color w:val="auto"/>
          <w:szCs w:val="21"/>
        </w:rPr>
      </w:pPr>
      <w:r>
        <w:rPr>
          <w:rFonts w:hint="eastAsia" w:ascii="宋体" w:hAnsi="宋体"/>
          <w:color w:val="auto"/>
          <w:szCs w:val="21"/>
        </w:rPr>
        <w:t>噪声是指发声体做无规则振动时发出的声音。通常所说的噪声污染是指人为造成的。凡是干扰人们休息、学习和工作以及对人们所要听的声音产生干扰的声音，即不需要的声音，统称为噪声。当噪声对人及周围环境造成不良影响时，就形成噪声污染。</w:t>
      </w:r>
    </w:p>
    <w:p>
      <w:pPr>
        <w:snapToGrid w:val="0"/>
        <w:spacing w:line="360" w:lineRule="exact"/>
        <w:ind w:firstLine="420" w:firstLineChars="200"/>
        <w:rPr>
          <w:rFonts w:ascii="宋体" w:hAnsi="宋体"/>
          <w:color w:val="auto"/>
          <w:szCs w:val="21"/>
        </w:rPr>
      </w:pPr>
      <w:r>
        <w:rPr>
          <w:rFonts w:hint="eastAsia" w:ascii="宋体" w:hAnsi="宋体"/>
          <w:color w:val="auto"/>
          <w:szCs w:val="21"/>
        </w:rPr>
        <w:t>噪声来源：</w:t>
      </w:r>
      <w:r>
        <w:rPr>
          <w:rFonts w:hint="eastAsia" w:ascii="宋体" w:hAnsi="宋体"/>
          <w:color w:val="auto"/>
          <w:szCs w:val="21"/>
          <w:lang w:val="en"/>
        </w:rPr>
        <w:t>①</w:t>
      </w:r>
      <w:r>
        <w:rPr>
          <w:rFonts w:hint="eastAsia" w:ascii="宋体" w:hAnsi="宋体"/>
          <w:color w:val="auto"/>
          <w:szCs w:val="21"/>
        </w:rPr>
        <w:t>交通噪声包括机动车辆、船舶、地铁、火车、飞机等的噪声。②工业噪声，即工厂的各种设备产生的噪声。③建筑噪声主要来源于建筑机械发出的噪声。④社会噪声包括人们的社会活动和家用电器、音响设备发出的噪声。</w:t>
      </w:r>
    </w:p>
    <w:p>
      <w:pPr>
        <w:spacing w:line="400" w:lineRule="exact"/>
        <w:ind w:firstLine="420" w:firstLineChars="200"/>
        <w:rPr>
          <w:rFonts w:ascii="宋体" w:hAnsi="宋体"/>
          <w:color w:val="auto"/>
          <w:szCs w:val="21"/>
        </w:rPr>
      </w:pPr>
    </w:p>
    <w:p>
      <w:pPr>
        <w:jc w:val="center"/>
        <w:rPr>
          <w:rFonts w:ascii="黑体" w:hAnsi="黑体" w:eastAsia="黑体"/>
          <w:color w:val="auto"/>
          <w:sz w:val="32"/>
        </w:rPr>
      </w:pPr>
      <w:r>
        <w:rPr>
          <w:rFonts w:hint="eastAsia" w:ascii="黑体" w:hAnsi="黑体" w:eastAsia="黑体"/>
          <w:color w:val="auto"/>
          <w:sz w:val="32"/>
        </w:rPr>
        <w:br w:type="page"/>
      </w:r>
      <w:r>
        <w:rPr>
          <w:rFonts w:hint="eastAsia" w:ascii="黑体" w:hAnsi="黑体" w:eastAsia="黑体"/>
          <w:color w:val="auto"/>
          <w:sz w:val="32"/>
        </w:rPr>
        <w:t>五、抽样方案</w:t>
      </w:r>
    </w:p>
    <w:p>
      <w:pPr>
        <w:jc w:val="center"/>
        <w:rPr>
          <w:rFonts w:eastAsia="黑体"/>
          <w:color w:val="auto"/>
          <w:sz w:val="32"/>
        </w:rPr>
      </w:pPr>
    </w:p>
    <w:p>
      <w:pPr>
        <w:numPr>
          <w:ilvl w:val="0"/>
          <w:numId w:val="14"/>
        </w:numPr>
        <w:snapToGrid w:val="0"/>
        <w:spacing w:line="360" w:lineRule="exact"/>
        <w:ind w:firstLine="420" w:firstLineChars="200"/>
        <w:rPr>
          <w:rFonts w:ascii="宋体" w:hAnsi="宋体"/>
          <w:color w:val="auto"/>
          <w:szCs w:val="21"/>
        </w:rPr>
      </w:pPr>
      <w:bookmarkStart w:id="0" w:name="_Toc40803479"/>
      <w:bookmarkStart w:id="1" w:name="_Toc479160025"/>
      <w:bookmarkStart w:id="2" w:name="_Toc477164799"/>
      <w:r>
        <w:rPr>
          <w:rFonts w:hint="eastAsia" w:ascii="宋体" w:hAnsi="宋体"/>
          <w:color w:val="auto"/>
          <w:szCs w:val="21"/>
        </w:rPr>
        <w:t>抽样目标</w:t>
      </w:r>
    </w:p>
    <w:p>
      <w:pPr>
        <w:snapToGrid w:val="0"/>
        <w:spacing w:line="360" w:lineRule="exact"/>
        <w:ind w:firstLine="420" w:firstLineChars="200"/>
        <w:rPr>
          <w:rFonts w:ascii="宋体" w:hAnsi="宋体"/>
          <w:color w:val="auto"/>
          <w:szCs w:val="21"/>
        </w:rPr>
      </w:pPr>
      <w:r>
        <w:rPr>
          <w:rFonts w:hint="eastAsia" w:ascii="宋体" w:hAnsi="宋体"/>
          <w:color w:val="auto"/>
          <w:szCs w:val="21"/>
          <w:lang w:val="en-GB"/>
        </w:rPr>
        <w:t>本次调查主要调查数据指标对各设区市有代表性。具体抽样目标：</w:t>
      </w:r>
      <w:r>
        <w:rPr>
          <w:rFonts w:hint="eastAsia" w:ascii="宋体" w:hAnsi="宋体"/>
          <w:color w:val="auto"/>
          <w:szCs w:val="21"/>
        </w:rPr>
        <w:t>在95%的置信度下，各设区市二分类满意度评价指标比例估值抽样误差控制在5%以内。</w:t>
      </w:r>
    </w:p>
    <w:p>
      <w:pPr>
        <w:snapToGrid w:val="0"/>
        <w:spacing w:line="360" w:lineRule="exact"/>
        <w:ind w:firstLine="420" w:firstLineChars="200"/>
        <w:rPr>
          <w:rFonts w:ascii="宋体" w:hAnsi="宋体"/>
          <w:color w:val="auto"/>
          <w:szCs w:val="21"/>
        </w:rPr>
      </w:pPr>
      <w:r>
        <w:rPr>
          <w:rFonts w:hint="eastAsia" w:ascii="宋体" w:hAnsi="宋体"/>
          <w:color w:val="auto"/>
          <w:szCs w:val="21"/>
        </w:rPr>
        <w:t>（二）抽样总体</w:t>
      </w:r>
      <w:bookmarkEnd w:id="0"/>
      <w:bookmarkEnd w:id="1"/>
      <w:bookmarkEnd w:id="2"/>
    </w:p>
    <w:p>
      <w:pPr>
        <w:snapToGrid w:val="0"/>
        <w:spacing w:line="360" w:lineRule="exact"/>
        <w:ind w:left="420" w:leftChars="200"/>
        <w:rPr>
          <w:rFonts w:ascii="宋体" w:hAnsi="宋体"/>
          <w:color w:val="auto"/>
          <w:szCs w:val="21"/>
        </w:rPr>
      </w:pPr>
      <w:bookmarkStart w:id="3" w:name="_Toc479160026"/>
      <w:bookmarkStart w:id="4" w:name="_Toc477164805"/>
      <w:bookmarkStart w:id="5" w:name="_Toc40803480"/>
      <w:r>
        <w:rPr>
          <w:rFonts w:hint="eastAsia" w:ascii="宋体" w:hAnsi="宋体"/>
          <w:color w:val="auto"/>
          <w:szCs w:val="21"/>
        </w:rPr>
        <w:t>本方案抽样总体为18-69岁居住在江苏省地域范围内的公民（不含外籍人员）</w:t>
      </w:r>
      <w:r>
        <w:rPr>
          <w:rFonts w:hint="eastAsia" w:ascii="宋体" w:hAnsi="宋体"/>
          <w:color w:val="auto"/>
          <w:szCs w:val="21"/>
          <w:lang w:val="en-GB"/>
        </w:rPr>
        <w:t>（手机、固话用户）</w:t>
      </w:r>
      <w:r>
        <w:rPr>
          <w:rFonts w:hint="eastAsia" w:ascii="宋体" w:hAnsi="宋体"/>
          <w:color w:val="auto"/>
          <w:szCs w:val="21"/>
        </w:rPr>
        <w:t>。（三）抽样框</w:t>
      </w:r>
    </w:p>
    <w:p>
      <w:pPr>
        <w:snapToGrid w:val="0"/>
        <w:spacing w:line="360" w:lineRule="exact"/>
        <w:ind w:firstLine="420" w:firstLineChars="200"/>
        <w:rPr>
          <w:rFonts w:ascii="宋体" w:hAnsi="宋体"/>
          <w:color w:val="auto"/>
          <w:szCs w:val="21"/>
        </w:rPr>
      </w:pPr>
      <w:r>
        <w:rPr>
          <w:rFonts w:hint="eastAsia" w:ascii="宋体" w:hAnsi="宋体"/>
          <w:color w:val="auto"/>
          <w:szCs w:val="21"/>
        </w:rPr>
        <w:t>调查涉及两个抽样框：固定电话抽样框和移动电话抽样框。固定电话局号</w:t>
      </w:r>
      <w:r>
        <w:rPr>
          <w:rStyle w:val="9"/>
          <w:rFonts w:hint="eastAsia" w:ascii="宋体" w:hAnsi="宋体"/>
          <w:color w:val="auto"/>
          <w:szCs w:val="21"/>
        </w:rPr>
        <w:footnoteReference w:id="0"/>
      </w:r>
      <w:r>
        <w:rPr>
          <w:rFonts w:hint="eastAsia" w:ascii="宋体" w:hAnsi="宋体"/>
          <w:color w:val="auto"/>
          <w:szCs w:val="21"/>
        </w:rPr>
        <w:t>可由电信局提供，移动电话局号</w:t>
      </w:r>
      <w:r>
        <w:rPr>
          <w:rStyle w:val="9"/>
          <w:rFonts w:hint="eastAsia" w:ascii="宋体" w:hAnsi="宋体"/>
          <w:color w:val="auto"/>
          <w:szCs w:val="21"/>
        </w:rPr>
        <w:footnoteReference w:id="1"/>
      </w:r>
      <w:r>
        <w:rPr>
          <w:rFonts w:hint="eastAsia" w:ascii="宋体" w:hAnsi="宋体"/>
          <w:color w:val="auto"/>
          <w:szCs w:val="21"/>
        </w:rPr>
        <w:t>可由移动、联通和电信三大运营商提供。</w:t>
      </w:r>
    </w:p>
    <w:p>
      <w:pPr>
        <w:numPr>
          <w:ilvl w:val="0"/>
          <w:numId w:val="15"/>
        </w:numPr>
        <w:snapToGrid w:val="0"/>
        <w:spacing w:line="360" w:lineRule="exact"/>
        <w:ind w:firstLine="420" w:firstLineChars="200"/>
        <w:rPr>
          <w:rFonts w:ascii="宋体" w:hAnsi="宋体"/>
          <w:color w:val="auto"/>
          <w:szCs w:val="21"/>
        </w:rPr>
      </w:pPr>
      <w:r>
        <w:rPr>
          <w:rFonts w:hint="eastAsia" w:ascii="宋体" w:hAnsi="宋体"/>
          <w:color w:val="auto"/>
          <w:szCs w:val="21"/>
        </w:rPr>
        <w:t>抽样原则</w:t>
      </w:r>
    </w:p>
    <w:p>
      <w:pPr>
        <w:snapToGrid w:val="0"/>
        <w:spacing w:line="360" w:lineRule="exact"/>
        <w:ind w:firstLine="420" w:firstLineChars="200"/>
        <w:rPr>
          <w:rFonts w:ascii="宋体" w:hAnsi="宋体"/>
          <w:color w:val="auto"/>
          <w:szCs w:val="21"/>
        </w:rPr>
      </w:pPr>
      <w:bookmarkStart w:id="6" w:name="_Toc479160050"/>
      <w:bookmarkStart w:id="7" w:name="_Toc40803502"/>
      <w:r>
        <w:rPr>
          <w:rFonts w:hint="eastAsia" w:ascii="宋体" w:hAnsi="宋体"/>
          <w:color w:val="auto"/>
          <w:szCs w:val="21"/>
        </w:rPr>
        <w:t>1.等概原则</w:t>
      </w:r>
      <w:bookmarkEnd w:id="6"/>
      <w:bookmarkEnd w:id="7"/>
    </w:p>
    <w:p>
      <w:pPr>
        <w:snapToGrid w:val="0"/>
        <w:spacing w:line="360" w:lineRule="exact"/>
        <w:ind w:firstLine="420" w:firstLineChars="200"/>
        <w:rPr>
          <w:rFonts w:ascii="宋体" w:hAnsi="宋体"/>
          <w:color w:val="auto"/>
          <w:szCs w:val="21"/>
        </w:rPr>
      </w:pPr>
      <w:r>
        <w:rPr>
          <w:rFonts w:hint="eastAsia" w:ascii="宋体" w:hAnsi="宋体"/>
          <w:color w:val="auto"/>
          <w:szCs w:val="21"/>
        </w:rPr>
        <w:t>固定电话抽样框与移动电话抽样框存在二者对应个体的重复性问题，以及移动电话样本框内部多个号码对应同一个体的问题。但实际调查过程中，同一个体因不同号码被抽中多次的概率非常低，因此本抽样方案假设抽样框中每个单元入选样本的概率相等，即遵循等概原则。</w:t>
      </w:r>
    </w:p>
    <w:p>
      <w:pPr>
        <w:snapToGrid w:val="0"/>
        <w:spacing w:line="360" w:lineRule="exact"/>
        <w:ind w:firstLine="420" w:firstLineChars="200"/>
        <w:rPr>
          <w:rFonts w:ascii="宋体" w:hAnsi="宋体"/>
          <w:color w:val="auto"/>
          <w:szCs w:val="21"/>
        </w:rPr>
      </w:pPr>
      <w:bookmarkStart w:id="8" w:name="_Toc40803503"/>
      <w:r>
        <w:rPr>
          <w:rFonts w:hint="eastAsia" w:ascii="宋体" w:hAnsi="宋体"/>
          <w:color w:val="auto"/>
          <w:szCs w:val="21"/>
        </w:rPr>
        <w:t>2.样本结构与总体结构匹配原则</w:t>
      </w:r>
      <w:bookmarkEnd w:id="8"/>
    </w:p>
    <w:p>
      <w:pPr>
        <w:snapToGrid w:val="0"/>
        <w:spacing w:line="360" w:lineRule="exact"/>
        <w:ind w:firstLine="420" w:firstLineChars="200"/>
        <w:rPr>
          <w:rFonts w:ascii="宋体" w:hAnsi="宋体"/>
          <w:color w:val="auto"/>
          <w:szCs w:val="21"/>
        </w:rPr>
      </w:pPr>
      <w:r>
        <w:rPr>
          <w:rFonts w:hint="eastAsia" w:ascii="宋体" w:hAnsi="宋体"/>
          <w:color w:val="auto"/>
          <w:szCs w:val="21"/>
        </w:rPr>
        <w:t>本方案假定样本量各配额比例与实际情况相匹配，样本结构可以反映总体结构。</w:t>
      </w:r>
    </w:p>
    <w:p>
      <w:pPr>
        <w:snapToGrid w:val="0"/>
        <w:spacing w:line="360" w:lineRule="exact"/>
        <w:ind w:firstLine="420" w:firstLineChars="200"/>
        <w:rPr>
          <w:rFonts w:ascii="宋体" w:hAnsi="宋体"/>
          <w:color w:val="auto"/>
          <w:szCs w:val="21"/>
        </w:rPr>
      </w:pPr>
      <w:r>
        <w:rPr>
          <w:rFonts w:hint="eastAsia" w:ascii="宋体" w:hAnsi="宋体"/>
          <w:color w:val="auto"/>
          <w:szCs w:val="21"/>
        </w:rPr>
        <w:t>（五）抽样方法</w:t>
      </w:r>
      <w:bookmarkEnd w:id="3"/>
      <w:bookmarkEnd w:id="4"/>
      <w:bookmarkEnd w:id="5"/>
    </w:p>
    <w:p>
      <w:pPr>
        <w:snapToGrid w:val="0"/>
        <w:spacing w:line="360" w:lineRule="exact"/>
        <w:ind w:firstLine="420" w:firstLineChars="200"/>
        <w:rPr>
          <w:rFonts w:ascii="宋体" w:hAnsi="宋体"/>
          <w:color w:val="auto"/>
          <w:szCs w:val="21"/>
        </w:rPr>
      </w:pPr>
      <w:r>
        <w:rPr>
          <w:rFonts w:hint="eastAsia" w:ascii="宋体" w:hAnsi="宋体"/>
          <w:color w:val="auto"/>
          <w:szCs w:val="21"/>
        </w:rPr>
        <w:t>本方案以设区市为子总体进行设计，采用分层二阶段随机尾号抽样，各子总体抽样方法相同。为保证样本在各设区市所辖的各县（市）、区单位内分布，由县（市）、区局号构造一阶段抽样框。按照简单随机抽样的方法，根据每个县（市）、区所分配到的样本量，抽取一定数量的局号。考虑到固定电话的受访者一般为家庭或单位，而移动电话的受访者是个人，因此需对固定电话和移动电话局号分别抽样。抽取局号后，再各自由计算机辅助电话调查（CATI）系统根据抽中局号段，按照简单随机抽样的方法抽取一定数量的尾号</w:t>
      </w:r>
      <w:r>
        <w:rPr>
          <w:rStyle w:val="9"/>
          <w:rFonts w:hint="eastAsia" w:ascii="宋体" w:hAnsi="宋体"/>
          <w:color w:val="auto"/>
          <w:szCs w:val="21"/>
        </w:rPr>
        <w:footnoteReference w:id="2"/>
      </w:r>
      <w:r>
        <w:rPr>
          <w:rFonts w:hint="eastAsia" w:ascii="宋体" w:hAnsi="宋体"/>
          <w:color w:val="auto"/>
          <w:szCs w:val="21"/>
        </w:rPr>
        <w:t>，随机生成号码库，简单随机抽取电话号码，拨通后将符合条件的接听者确定为受访者。各地级单位的具体样本量分配结果可参考样本量分配表。具体的分层方法和抽样流程如图1和图2所示：</w:t>
      </w:r>
    </w:p>
    <w:p>
      <w:pPr>
        <w:pStyle w:val="2"/>
        <w:spacing w:before="72" w:beforeLines="30" w:after="72" w:afterLines="30" w:line="400" w:lineRule="exact"/>
        <w:jc w:val="center"/>
        <w:rPr>
          <w:rFonts w:ascii="黑体" w:hAnsi="黑体"/>
          <w:color w:val="auto"/>
          <w:sz w:val="21"/>
          <w:szCs w:val="21"/>
        </w:rPr>
      </w:pPr>
      <w:r>
        <w:rPr>
          <w:rFonts w:hint="eastAsia" w:ascii="黑体" w:hAnsi="黑体"/>
          <w:color w:val="auto"/>
          <w:sz w:val="21"/>
          <w:szCs w:val="21"/>
        </w:rPr>
        <w:t xml:space="preserve">图1 </w:t>
      </w:r>
      <w:r>
        <w:rPr>
          <w:rFonts w:hint="eastAsia" w:ascii="黑体" w:hAnsi="黑体"/>
          <w:color w:val="auto"/>
          <w:sz w:val="21"/>
          <w:szCs w:val="21"/>
          <w:lang w:eastAsia="zh-CN"/>
        </w:rPr>
        <w:t>县</w:t>
      </w:r>
      <w:r>
        <w:rPr>
          <w:rFonts w:hint="eastAsia" w:ascii="黑体" w:hAnsi="黑体"/>
          <w:color w:val="auto"/>
          <w:sz w:val="21"/>
          <w:szCs w:val="21"/>
        </w:rPr>
        <w:t>级单位的分层方法　　　　　　　　　　　　　图2 抽样流程图</w:t>
      </w:r>
    </w:p>
    <w:p>
      <w:pPr>
        <w:pStyle w:val="2"/>
        <w:spacing w:before="72" w:beforeLines="30" w:after="72" w:afterLines="30" w:line="400" w:lineRule="exact"/>
        <w:jc w:val="left"/>
        <w:rPr>
          <w:rFonts w:ascii="宋体" w:hAnsi="宋体"/>
          <w:color w:val="auto"/>
          <w:sz w:val="24"/>
          <w:szCs w:val="30"/>
        </w:rPr>
      </w:pPr>
      <w:r>
        <w:rPr>
          <w:color w:val="auto"/>
          <w:sz w:val="24"/>
        </w:rPr>
        <mc:AlternateContent>
          <mc:Choice Requires="wpg">
            <w:drawing>
              <wp:anchor distT="0" distB="0" distL="114300" distR="114300" simplePos="0" relativeHeight="251660288" behindDoc="0" locked="0" layoutInCell="1" allowOverlap="1">
                <wp:simplePos x="0" y="0"/>
                <wp:positionH relativeFrom="column">
                  <wp:posOffset>17780</wp:posOffset>
                </wp:positionH>
                <wp:positionV relativeFrom="paragraph">
                  <wp:posOffset>106680</wp:posOffset>
                </wp:positionV>
                <wp:extent cx="2298065" cy="1003300"/>
                <wp:effectExtent l="0" t="0" r="6985" b="6350"/>
                <wp:wrapNone/>
                <wp:docPr id="1" name="组合 1"/>
                <wp:cNvGraphicFramePr/>
                <a:graphic xmlns:a="http://schemas.openxmlformats.org/drawingml/2006/main">
                  <a:graphicData uri="http://schemas.microsoft.com/office/word/2010/wordprocessingGroup">
                    <wpg:wgp>
                      <wpg:cNvGrpSpPr/>
                      <wpg:grpSpPr>
                        <a:xfrm>
                          <a:off x="0" y="0"/>
                          <a:ext cx="2298065" cy="1003300"/>
                          <a:chOff x="4540" y="167066"/>
                          <a:chExt cx="3619" cy="1580"/>
                        </a:xfrm>
                      </wpg:grpSpPr>
                      <wps:wsp>
                        <wps:cNvPr id="2" name="文本框 5"/>
                        <wps:cNvSpPr txBox="1">
                          <a:spLocks noChangeArrowheads="1"/>
                        </wps:cNvSpPr>
                        <wps:spPr bwMode="auto">
                          <a:xfrm>
                            <a:off x="4540" y="167430"/>
                            <a:ext cx="1378" cy="881"/>
                          </a:xfrm>
                          <a:prstGeom prst="rect">
                            <a:avLst/>
                          </a:prstGeom>
                          <a:solidFill>
                            <a:srgbClr val="5B9BD5"/>
                          </a:solidFill>
                          <a:ln>
                            <a:noFill/>
                          </a:ln>
                        </wps:spPr>
                        <wps:txbx>
                          <w:txbxContent>
                            <w:p>
                              <w:pPr>
                                <w:spacing w:line="0" w:lineRule="atLeast"/>
                                <w:rPr>
                                  <w:rFonts w:ascii="宋体" w:hAnsi="宋体" w:cs="宋体"/>
                                  <w:color w:val="FFFFFF"/>
                                  <w:sz w:val="24"/>
                                  <w:szCs w:val="24"/>
                                </w:rPr>
                              </w:pPr>
                              <w:r>
                                <w:rPr>
                                  <w:rFonts w:hint="eastAsia" w:ascii="宋体" w:hAnsi="宋体" w:cs="宋体"/>
                                  <w:color w:val="FFFFFF"/>
                                  <w:sz w:val="24"/>
                                  <w:szCs w:val="24"/>
                                </w:rPr>
                                <w:t>县</w:t>
                              </w:r>
                              <w:r>
                                <w:rPr>
                                  <w:rFonts w:ascii="宋体" w:hAnsi="宋体" w:cs="宋体"/>
                                  <w:color w:val="FFFFFF"/>
                                  <w:sz w:val="24"/>
                                  <w:szCs w:val="24"/>
                                </w:rPr>
                                <w:t>级</w:t>
                              </w:r>
                              <w:r>
                                <w:rPr>
                                  <w:rFonts w:hint="eastAsia" w:ascii="宋体" w:hAnsi="宋体" w:cs="宋体"/>
                                  <w:color w:val="FFFFFF"/>
                                  <w:sz w:val="24"/>
                                  <w:szCs w:val="24"/>
                                </w:rPr>
                                <w:t>单位</w:t>
                              </w:r>
                            </w:p>
                          </w:txbxContent>
                        </wps:txbx>
                        <wps:bodyPr rot="0" vert="horz" wrap="square" lIns="91440" tIns="45720" rIns="91440" bIns="45720" anchor="t" anchorCtr="0" upright="1">
                          <a:noAutofit/>
                        </wps:bodyPr>
                      </wps:wsp>
                      <wps:wsp>
                        <wps:cNvPr id="3" name="文本框 2"/>
                        <wps:cNvSpPr txBox="1">
                          <a:spLocks noChangeArrowheads="1"/>
                        </wps:cNvSpPr>
                        <wps:spPr bwMode="auto">
                          <a:xfrm>
                            <a:off x="6781" y="168152"/>
                            <a:ext cx="1378" cy="494"/>
                          </a:xfrm>
                          <a:prstGeom prst="rect">
                            <a:avLst/>
                          </a:prstGeom>
                          <a:solidFill>
                            <a:srgbClr val="5B9BD5"/>
                          </a:solidFill>
                          <a:ln>
                            <a:noFill/>
                          </a:ln>
                        </wps:spPr>
                        <wps:txbx>
                          <w:txbxContent>
                            <w:p>
                              <w:pPr>
                                <w:spacing w:line="0" w:lineRule="atLeast"/>
                                <w:jc w:val="center"/>
                                <w:rPr>
                                  <w:rFonts w:ascii="宋体" w:hAnsi="宋体" w:cs="宋体"/>
                                  <w:color w:val="FFFFFF"/>
                                  <w:sz w:val="24"/>
                                  <w:szCs w:val="24"/>
                                </w:rPr>
                              </w:pPr>
                              <w:r>
                                <w:rPr>
                                  <w:rFonts w:hint="eastAsia" w:ascii="宋体" w:hAnsi="宋体" w:cs="宋体"/>
                                  <w:color w:val="FFFFFF"/>
                                  <w:sz w:val="24"/>
                                  <w:szCs w:val="24"/>
                                </w:rPr>
                                <w:t>移动电话</w:t>
                              </w:r>
                            </w:p>
                          </w:txbxContent>
                        </wps:txbx>
                        <wps:bodyPr rot="0" vert="horz" wrap="square" lIns="91440" tIns="45720" rIns="91440" bIns="45720" anchor="t" anchorCtr="0" upright="1">
                          <a:noAutofit/>
                        </wps:bodyPr>
                      </wps:wsp>
                      <wps:wsp>
                        <wps:cNvPr id="4" name="文本框 1"/>
                        <wps:cNvSpPr txBox="1">
                          <a:spLocks noChangeArrowheads="1"/>
                        </wps:cNvSpPr>
                        <wps:spPr bwMode="auto">
                          <a:xfrm>
                            <a:off x="6781" y="167066"/>
                            <a:ext cx="1378" cy="494"/>
                          </a:xfrm>
                          <a:prstGeom prst="rect">
                            <a:avLst/>
                          </a:prstGeom>
                          <a:solidFill>
                            <a:srgbClr val="5B9BD5"/>
                          </a:solidFill>
                          <a:ln>
                            <a:noFill/>
                          </a:ln>
                        </wps:spPr>
                        <wps:txbx>
                          <w:txbxContent>
                            <w:p>
                              <w:pPr>
                                <w:spacing w:line="0" w:lineRule="atLeast"/>
                                <w:jc w:val="center"/>
                                <w:rPr>
                                  <w:rFonts w:ascii="宋体" w:hAnsi="宋体" w:cs="宋体"/>
                                  <w:color w:val="FFFFFF"/>
                                  <w:sz w:val="24"/>
                                  <w:szCs w:val="24"/>
                                </w:rPr>
                              </w:pPr>
                              <w:r>
                                <w:rPr>
                                  <w:rFonts w:hint="eastAsia" w:ascii="宋体" w:hAnsi="宋体" w:cs="宋体"/>
                                  <w:color w:val="FFFFFF"/>
                                  <w:sz w:val="24"/>
                                  <w:szCs w:val="24"/>
                                </w:rPr>
                                <w:t>固定电话</w:t>
                              </w:r>
                            </w:p>
                          </w:txbxContent>
                        </wps:txbx>
                        <wps:bodyPr rot="0" vert="horz" wrap="square" lIns="91440" tIns="45720" rIns="91440" bIns="45720" anchor="t" anchorCtr="0" upright="1">
                          <a:noAutofit/>
                        </wps:bodyPr>
                      </wps:wsp>
                      <wps:wsp>
                        <wps:cNvPr id="5" name="肘形连接符 6"/>
                        <wps:cNvCnPr>
                          <a:cxnSpLocks noChangeShapeType="1"/>
                        </wps:cNvCnPr>
                        <wps:spPr bwMode="auto">
                          <a:xfrm>
                            <a:off x="5955" y="167859"/>
                            <a:ext cx="753" cy="545"/>
                          </a:xfrm>
                          <a:prstGeom prst="bentConnector3">
                            <a:avLst>
                              <a:gd name="adj1" fmla="val 50065"/>
                            </a:avLst>
                          </a:prstGeom>
                          <a:noFill/>
                          <a:ln w="19050">
                            <a:solidFill>
                              <a:srgbClr val="5B9BD5"/>
                            </a:solidFill>
                            <a:miter lim="800000"/>
                          </a:ln>
                        </wps:spPr>
                        <wps:bodyPr/>
                      </wps:wsp>
                      <wps:wsp>
                        <wps:cNvPr id="6" name="肘形连接符 7"/>
                        <wps:cNvCnPr>
                          <a:cxnSpLocks noChangeShapeType="1"/>
                        </wps:cNvCnPr>
                        <wps:spPr bwMode="auto">
                          <a:xfrm flipV="1">
                            <a:off x="5966" y="167313"/>
                            <a:ext cx="728" cy="544"/>
                          </a:xfrm>
                          <a:prstGeom prst="bentConnector3">
                            <a:avLst>
                              <a:gd name="adj1" fmla="val 50139"/>
                            </a:avLst>
                          </a:prstGeom>
                          <a:noFill/>
                          <a:ln w="19050">
                            <a:solidFill>
                              <a:srgbClr val="5B9BD5"/>
                            </a:solidFill>
                            <a:miter lim="800000"/>
                          </a:ln>
                        </wps:spPr>
                        <wps:bodyPr/>
                      </wps:wsp>
                    </wpg:wgp>
                  </a:graphicData>
                </a:graphic>
              </wp:anchor>
            </w:drawing>
          </mc:Choice>
          <mc:Fallback>
            <w:pict>
              <v:group id="_x0000_s1026" o:spid="_x0000_s1026" o:spt="203" style="position:absolute;left:0pt;margin-left:1.4pt;margin-top:8.4pt;height:79pt;width:180.95pt;z-index:251660288;mso-width-relative:page;mso-height-relative:page;" coordorigin="4540,167066" coordsize="3619,1580" o:gfxdata="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">
                <o:lock v:ext="edit" aspectratio="f"/>
                <v:shape id="文本框 5" o:spid="_x0000_s1026" o:spt="202" type="#_x0000_t202" style="position:absolute;left:4540;top:167430;height:881;width:1378;" fillcolor="#5B9BD5" filled="t" stroked="f" coordsize="21600,21600" o:gfxdata="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mmHYLsAAADa&#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spacing w:line="0" w:lineRule="atLeast"/>
                          <w:rPr>
                            <w:rFonts w:ascii="宋体" w:hAnsi="宋体" w:cs="宋体"/>
                            <w:color w:val="FFFFFF"/>
                            <w:sz w:val="24"/>
                            <w:szCs w:val="24"/>
                          </w:rPr>
                        </w:pPr>
                        <w:r>
                          <w:rPr>
                            <w:rFonts w:hint="eastAsia" w:ascii="宋体" w:hAnsi="宋体" w:cs="宋体"/>
                            <w:color w:val="FFFFFF"/>
                            <w:sz w:val="24"/>
                            <w:szCs w:val="24"/>
                          </w:rPr>
                          <w:t>县</w:t>
                        </w:r>
                        <w:r>
                          <w:rPr>
                            <w:rFonts w:ascii="宋体" w:hAnsi="宋体" w:cs="宋体"/>
                            <w:color w:val="FFFFFF"/>
                            <w:sz w:val="24"/>
                            <w:szCs w:val="24"/>
                          </w:rPr>
                          <w:t>级</w:t>
                        </w:r>
                        <w:r>
                          <w:rPr>
                            <w:rFonts w:hint="eastAsia" w:ascii="宋体" w:hAnsi="宋体" w:cs="宋体"/>
                            <w:color w:val="FFFFFF"/>
                            <w:sz w:val="24"/>
                            <w:szCs w:val="24"/>
                          </w:rPr>
                          <w:t>单位</w:t>
                        </w:r>
                      </w:p>
                    </w:txbxContent>
                  </v:textbox>
                </v:shape>
                <v:shape id="文本框 2" o:spid="_x0000_s1026" o:spt="202" type="#_x0000_t202" style="position:absolute;left:6781;top:168152;height:494;width:1378;" fillcolor="#5B9BD5" filled="t" stroked="f" coordsize="21600,21600" o:gfxdata="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SUi+7sAAADa&#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spacing w:line="0" w:lineRule="atLeast"/>
                          <w:jc w:val="center"/>
                          <w:rPr>
                            <w:rFonts w:ascii="宋体" w:hAnsi="宋体" w:cs="宋体"/>
                            <w:color w:val="FFFFFF"/>
                            <w:sz w:val="24"/>
                            <w:szCs w:val="24"/>
                          </w:rPr>
                        </w:pPr>
                        <w:r>
                          <w:rPr>
                            <w:rFonts w:hint="eastAsia" w:ascii="宋体" w:hAnsi="宋体" w:cs="宋体"/>
                            <w:color w:val="FFFFFF"/>
                            <w:sz w:val="24"/>
                            <w:szCs w:val="24"/>
                          </w:rPr>
                          <w:t>移动电话</w:t>
                        </w:r>
                      </w:p>
                    </w:txbxContent>
                  </v:textbox>
                </v:shape>
                <v:shape id="文本框 1" o:spid="_x0000_s1026" o:spt="202" type="#_x0000_t202" style="position:absolute;left:6781;top:167066;height:494;width:1378;" fillcolor="#5B9BD5" filled="t" stroked="f" coordsize="21600,21600" o:gfxdata="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sy6j7sAAADa&#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spacing w:line="0" w:lineRule="atLeast"/>
                          <w:jc w:val="center"/>
                          <w:rPr>
                            <w:rFonts w:ascii="宋体" w:hAnsi="宋体" w:cs="宋体"/>
                            <w:color w:val="FFFFFF"/>
                            <w:sz w:val="24"/>
                            <w:szCs w:val="24"/>
                          </w:rPr>
                        </w:pPr>
                        <w:r>
                          <w:rPr>
                            <w:rFonts w:hint="eastAsia" w:ascii="宋体" w:hAnsi="宋体" w:cs="宋体"/>
                            <w:color w:val="FFFFFF"/>
                            <w:sz w:val="24"/>
                            <w:szCs w:val="24"/>
                          </w:rPr>
                          <w:t>固定电话</w:t>
                        </w:r>
                      </w:p>
                    </w:txbxContent>
                  </v:textbox>
                </v:shape>
                <v:shape id="肘形连接符 6" o:spid="_x0000_s1026" o:spt="34" type="#_x0000_t34" style="position:absolute;left:5955;top:167859;height:545;width:753;" filled="f" stroked="t" coordsize="21600,21600" o:gfxdata="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o4+I68AAAA&#10;2gAAAA8AAAAAAAAAAQAgAAAAIgAAAGRycy9kb3ducmV2LnhtbFBLAQIUABQAAAAIAIdO4kAzLwWe&#10;OwAAADkAAAAQAAAAAAAAAAEAIAAAAAsBAABkcnMvc2hhcGV4bWwueG1sUEsFBgAAAAAGAAYAWwEA&#10;ALUDAAAAAA==&#10;" adj="10814">
                  <v:fill on="f" focussize="0,0"/>
                  <v:stroke weight="1.5pt" color="#5B9BD5" miterlimit="8" joinstyle="miter"/>
                  <v:imagedata o:title=""/>
                  <o:lock v:ext="edit" aspectratio="f"/>
                </v:shape>
                <v:shape id="肘形连接符 7" o:spid="_x0000_s1026" o:spt="34" type="#_x0000_t34" style="position:absolute;left:5966;top:167313;flip:y;height:544;width:728;" filled="f" stroked="t" coordsize="21600,21600" o:gfxdata="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I9Ye8AAAA&#10;2gAAAA8AAAAAAAAAAQAgAAAAIgAAAGRycy9kb3ducmV2LnhtbFBLAQIUABQAAAAIAIdO4kAzLwWe&#10;OwAAADkAAAAQAAAAAAAAAAEAIAAAAAsBAABkcnMvc2hhcGV4bWwueG1sUEsFBgAAAAAGAAYAWwEA&#10;ALUDAAAAAA==&#10;" adj="10830">
                  <v:fill on="f" focussize="0,0"/>
                  <v:stroke weight="1.5pt" color="#5B9BD5" miterlimit="8" joinstyle="miter"/>
                  <v:imagedata o:title=""/>
                  <o:lock v:ext="edit" aspectratio="f"/>
                </v:shape>
              </v:group>
            </w:pict>
          </mc:Fallback>
        </mc:AlternateContent>
      </w:r>
      <w:r>
        <w:rPr>
          <w:color w:val="auto"/>
          <w:sz w:val="24"/>
        </w:rPr>
        <mc:AlternateContent>
          <mc:Choice Requires="wpg">
            <w:drawing>
              <wp:anchor distT="0" distB="0" distL="114300" distR="114300" simplePos="0" relativeHeight="251659264" behindDoc="0" locked="0" layoutInCell="1" allowOverlap="1">
                <wp:simplePos x="0" y="0"/>
                <wp:positionH relativeFrom="column">
                  <wp:posOffset>2614295</wp:posOffset>
                </wp:positionH>
                <wp:positionV relativeFrom="paragraph">
                  <wp:posOffset>176530</wp:posOffset>
                </wp:positionV>
                <wp:extent cx="3305175" cy="805815"/>
                <wp:effectExtent l="15240" t="17145" r="13335" b="15240"/>
                <wp:wrapNone/>
                <wp:docPr id="7" name="组合 7"/>
                <wp:cNvGraphicFramePr/>
                <a:graphic xmlns:a="http://schemas.openxmlformats.org/drawingml/2006/main">
                  <a:graphicData uri="http://schemas.microsoft.com/office/word/2010/wordprocessingGroup">
                    <wpg:wgp>
                      <wpg:cNvGrpSpPr/>
                      <wpg:grpSpPr>
                        <a:xfrm>
                          <a:off x="0" y="0"/>
                          <a:ext cx="3305175" cy="805815"/>
                          <a:chOff x="10630" y="3560"/>
                          <a:chExt cx="5524" cy="1269"/>
                        </a:xfrm>
                      </wpg:grpSpPr>
                      <wps:wsp>
                        <wps:cNvPr id="8" name="圆角矩形 14"/>
                        <wps:cNvSpPr>
                          <a:spLocks noChangeArrowheads="1"/>
                        </wps:cNvSpPr>
                        <wps:spPr bwMode="auto">
                          <a:xfrm>
                            <a:off x="10635" y="3565"/>
                            <a:ext cx="1350" cy="570"/>
                          </a:xfrm>
                          <a:prstGeom prst="roundRect">
                            <a:avLst>
                              <a:gd name="adj" fmla="val 16667"/>
                            </a:avLst>
                          </a:prstGeom>
                          <a:solidFill>
                            <a:srgbClr val="5B9BD5"/>
                          </a:solidFill>
                          <a:ln w="19050">
                            <a:solidFill>
                              <a:srgbClr val="FFFFFF"/>
                            </a:solidFill>
                            <a:miter lim="800000"/>
                          </a:ln>
                          <a:effectLst/>
                        </wps:spPr>
                        <wps:txbx>
                          <w:txbxContent>
                            <w:p>
                              <w:pPr>
                                <w:adjustRightInd w:val="0"/>
                                <w:snapToGrid w:val="0"/>
                                <w:spacing w:line="0" w:lineRule="atLeast"/>
                                <w:ind w:left="-84" w:leftChars="-40"/>
                                <w:jc w:val="center"/>
                                <w:rPr>
                                  <w:color w:val="FFFFFF"/>
                                  <w:sz w:val="24"/>
                                  <w:szCs w:val="24"/>
                                </w:rPr>
                              </w:pPr>
                              <w:r>
                                <w:rPr>
                                  <w:rFonts w:hint="eastAsia"/>
                                  <w:color w:val="FFFFFF"/>
                                  <w:sz w:val="24"/>
                                  <w:szCs w:val="24"/>
                                </w:rPr>
                                <w:t>固定电话</w:t>
                              </w:r>
                            </w:p>
                          </w:txbxContent>
                        </wps:txbx>
                        <wps:bodyPr rot="0" vert="horz" wrap="square" lIns="91440" tIns="45720" rIns="91440" bIns="45720" anchor="ctr" anchorCtr="0" upright="1">
                          <a:noAutofit/>
                        </wps:bodyPr>
                      </wps:wsp>
                      <wps:wsp>
                        <wps:cNvPr id="9" name="圆角矩形 17"/>
                        <wps:cNvSpPr>
                          <a:spLocks noChangeArrowheads="1"/>
                        </wps:cNvSpPr>
                        <wps:spPr bwMode="auto">
                          <a:xfrm>
                            <a:off x="12750" y="3565"/>
                            <a:ext cx="1350" cy="570"/>
                          </a:xfrm>
                          <a:prstGeom prst="roundRect">
                            <a:avLst>
                              <a:gd name="adj" fmla="val 16667"/>
                            </a:avLst>
                          </a:prstGeom>
                          <a:solidFill>
                            <a:srgbClr val="5B9BD5"/>
                          </a:solidFill>
                          <a:ln w="19050">
                            <a:solidFill>
                              <a:srgbClr val="FFFFFF"/>
                            </a:solidFill>
                            <a:miter lim="800000"/>
                          </a:ln>
                          <a:effectLst/>
                        </wps:spPr>
                        <wps:txbx>
                          <w:txbxContent>
                            <w:p>
                              <w:pPr>
                                <w:spacing w:line="0" w:lineRule="atLeast"/>
                                <w:jc w:val="center"/>
                                <w:rPr>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0" name="圆角矩形 19"/>
                        <wps:cNvSpPr>
                          <a:spLocks noChangeArrowheads="1"/>
                        </wps:cNvSpPr>
                        <wps:spPr bwMode="auto">
                          <a:xfrm>
                            <a:off x="14795" y="3560"/>
                            <a:ext cx="1350" cy="570"/>
                          </a:xfrm>
                          <a:prstGeom prst="roundRect">
                            <a:avLst>
                              <a:gd name="adj" fmla="val 16667"/>
                            </a:avLst>
                          </a:prstGeom>
                          <a:solidFill>
                            <a:srgbClr val="5B9BD5"/>
                          </a:solidFill>
                          <a:ln w="19050">
                            <a:solidFill>
                              <a:srgbClr val="FFFFFF"/>
                            </a:solidFill>
                            <a:miter lim="800000"/>
                          </a:ln>
                          <a:effectLst/>
                        </wps:spPr>
                        <wps:txbx>
                          <w:txbxContent>
                            <w:p>
                              <w:pPr>
                                <w:spacing w:line="0" w:lineRule="atLeast"/>
                                <w:ind w:left="-84" w:leftChars="-40"/>
                                <w:jc w:val="center"/>
                                <w:rPr>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g:grpSp>
                        <wpg:cNvPr id="11" name="组合 12"/>
                        <wpg:cNvGrpSpPr/>
                        <wpg:grpSpPr>
                          <a:xfrm>
                            <a:off x="10630" y="4255"/>
                            <a:ext cx="5525" cy="575"/>
                            <a:chOff x="10630" y="4525"/>
                            <a:chExt cx="5525" cy="575"/>
                          </a:xfrm>
                        </wpg:grpSpPr>
                        <wps:wsp>
                          <wps:cNvPr id="12" name="圆角矩形 15"/>
                          <wps:cNvSpPr>
                            <a:spLocks noChangeArrowheads="1"/>
                          </wps:cNvSpPr>
                          <wps:spPr bwMode="auto">
                            <a:xfrm>
                              <a:off x="10630" y="4525"/>
                              <a:ext cx="1350" cy="570"/>
                            </a:xfrm>
                            <a:prstGeom prst="roundRect">
                              <a:avLst>
                                <a:gd name="adj" fmla="val 16667"/>
                              </a:avLst>
                            </a:prstGeom>
                            <a:solidFill>
                              <a:srgbClr val="5B9BD5"/>
                            </a:solidFill>
                            <a:ln w="19050">
                              <a:solidFill>
                                <a:srgbClr val="FFFFFF"/>
                              </a:solidFill>
                              <a:miter lim="800000"/>
                            </a:ln>
                            <a:effectLst/>
                          </wps:spPr>
                          <wps:txbx>
                            <w:txbxContent>
                              <w:p>
                                <w:pPr>
                                  <w:spacing w:line="0" w:lineRule="atLeast"/>
                                  <w:ind w:left="-84" w:leftChars="-40"/>
                                  <w:jc w:val="center"/>
                                  <w:rPr>
                                    <w:color w:val="FFFFFF"/>
                                    <w:sz w:val="24"/>
                                    <w:szCs w:val="24"/>
                                  </w:rPr>
                                </w:pPr>
                                <w:r>
                                  <w:rPr>
                                    <w:rFonts w:hint="eastAsia"/>
                                    <w:color w:val="FFFFFF"/>
                                    <w:sz w:val="24"/>
                                    <w:szCs w:val="24"/>
                                  </w:rPr>
                                  <w:t>移动电话</w:t>
                                </w:r>
                              </w:p>
                            </w:txbxContent>
                          </wps:txbx>
                          <wps:bodyPr rot="0" vert="horz" wrap="square" lIns="91440" tIns="45720" rIns="91440" bIns="45720" anchor="ctr" anchorCtr="0" upright="1">
                            <a:noAutofit/>
                          </wps:bodyPr>
                        </wps:wsp>
                        <wps:wsp>
                          <wps:cNvPr id="13" name="圆角矩形 16"/>
                          <wps:cNvSpPr>
                            <a:spLocks noChangeArrowheads="1"/>
                          </wps:cNvSpPr>
                          <wps:spPr bwMode="auto">
                            <a:xfrm>
                              <a:off x="12750" y="4525"/>
                              <a:ext cx="1350" cy="570"/>
                            </a:xfrm>
                            <a:prstGeom prst="roundRect">
                              <a:avLst>
                                <a:gd name="adj" fmla="val 16667"/>
                              </a:avLst>
                            </a:prstGeom>
                            <a:solidFill>
                              <a:srgbClr val="5B9BD5"/>
                            </a:solidFill>
                            <a:ln w="19050">
                              <a:solidFill>
                                <a:srgbClr val="FFFFFF"/>
                              </a:solidFill>
                              <a:miter lim="800000"/>
                            </a:ln>
                            <a:effectLst/>
                          </wps:spPr>
                          <wps:txbx>
                            <w:txbxContent>
                              <w:p>
                                <w:pPr>
                                  <w:spacing w:line="0" w:lineRule="atLeast"/>
                                  <w:jc w:val="center"/>
                                  <w:rPr>
                                    <w:color w:val="FFFFFF"/>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4" name="圆角矩形 18"/>
                          <wps:cNvSpPr>
                            <a:spLocks noChangeArrowheads="1"/>
                          </wps:cNvSpPr>
                          <wps:spPr bwMode="auto">
                            <a:xfrm>
                              <a:off x="14805" y="4530"/>
                              <a:ext cx="1350" cy="570"/>
                            </a:xfrm>
                            <a:prstGeom prst="roundRect">
                              <a:avLst>
                                <a:gd name="adj" fmla="val 16667"/>
                              </a:avLst>
                            </a:prstGeom>
                            <a:solidFill>
                              <a:srgbClr val="5B9BD5"/>
                            </a:solidFill>
                            <a:ln w="19050">
                              <a:solidFill>
                                <a:srgbClr val="FFFFFF"/>
                              </a:solidFill>
                              <a:miter lim="800000"/>
                            </a:ln>
                            <a:effectLst/>
                          </wps:spPr>
                          <wps:txbx>
                            <w:txbxContent>
                              <w:p>
                                <w:pPr>
                                  <w:spacing w:line="0" w:lineRule="atLeast"/>
                                  <w:ind w:left="-84" w:leftChars="-40"/>
                                  <w:jc w:val="center"/>
                                  <w:rPr>
                                    <w:color w:val="FFFFFF"/>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s:wsp>
                          <wps:cNvPr id="15" name="右箭头 23"/>
                          <wps:cNvSpPr>
                            <a:spLocks noChangeArrowheads="1"/>
                          </wps:cNvSpPr>
                          <wps:spPr bwMode="auto">
                            <a:xfrm>
                              <a:off x="14325" y="462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s:wsp>
                          <wps:cNvPr id="16" name="右箭头 24"/>
                          <wps:cNvSpPr>
                            <a:spLocks noChangeArrowheads="1"/>
                          </wps:cNvSpPr>
                          <wps:spPr bwMode="auto">
                            <a:xfrm>
                              <a:off x="12230" y="4620"/>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g:grpSp>
                      <wps:wsp>
                        <wps:cNvPr id="17" name="右箭头 25"/>
                        <wps:cNvSpPr>
                          <a:spLocks noChangeArrowheads="1"/>
                        </wps:cNvSpPr>
                        <wps:spPr bwMode="auto">
                          <a:xfrm>
                            <a:off x="1431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s:wsp>
                        <wps:cNvPr id="18" name="右箭头 26"/>
                        <wps:cNvSpPr>
                          <a:spLocks noChangeArrowheads="1"/>
                        </wps:cNvSpPr>
                        <wps:spPr bwMode="auto">
                          <a:xfrm>
                            <a:off x="1222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g:wgp>
                  </a:graphicData>
                </a:graphic>
              </wp:anchor>
            </w:drawing>
          </mc:Choice>
          <mc:Fallback>
            <w:pict>
              <v:group id="_x0000_s1026" o:spid="_x0000_s1026" o:spt="203" style="position:absolute;left:0pt;margin-left:205.85pt;margin-top:13.9pt;height:63.45pt;width:260.25pt;z-index:251659264;mso-width-relative:page;mso-height-relative:page;" coordorigin="10630,3560" coordsize="5524,1269" o:gfxdata="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">
                <o:lock v:ext="edit" aspectratio="f"/>
                <v:roundrect id="圆角矩形 14" o:spid="_x0000_s1026" o:spt="2" style="position:absolute;left:10635;top:3565;height:570;width:1350;v-text-anchor:middle;" fillcolor="#5B9BD5" filled="t" stroked="t" coordsize="21600,21600" arcsize="0.166666666666667" o:gfxdata="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NkVh65AAAA2gAA&#10;AA8AAAAAAAAAAQAgAAAAIgAAAGRycy9kb3ducmV2LnhtbFBLAQIUABQAAAAIAIdO4kAzLwWeOwAA&#10;ADkAAAAQAAAAAAAAAAEAIAAAAAgBAABkcnMvc2hhcGV4bWwueG1sUEsFBgAAAAAGAAYAWwEAALID&#10;AAAAAA==&#10;">
                  <v:fill on="t" focussize="0,0"/>
                  <v:stroke weight="1.5pt" color="#FFFFFF" miterlimit="8" joinstyle="miter"/>
                  <v:imagedata o:title=""/>
                  <o:lock v:ext="edit" aspectratio="f"/>
                  <v:textbox>
                    <w:txbxContent>
                      <w:p>
                        <w:pPr>
                          <w:adjustRightInd w:val="0"/>
                          <w:snapToGrid w:val="0"/>
                          <w:spacing w:line="0" w:lineRule="atLeast"/>
                          <w:ind w:left="-84" w:leftChars="-40"/>
                          <w:jc w:val="center"/>
                          <w:rPr>
                            <w:color w:val="FFFFFF"/>
                            <w:sz w:val="24"/>
                            <w:szCs w:val="24"/>
                          </w:rPr>
                        </w:pPr>
                        <w:r>
                          <w:rPr>
                            <w:rFonts w:hint="eastAsia"/>
                            <w:color w:val="FFFFFF"/>
                            <w:sz w:val="24"/>
                            <w:szCs w:val="24"/>
                          </w:rPr>
                          <w:t>固定电话</w:t>
                        </w:r>
                      </w:p>
                    </w:txbxContent>
                  </v:textbox>
                </v:roundrect>
                <v:roundrect id="圆角矩形 17" o:spid="_x0000_s1026" o:spt="2" style="position:absolute;left:12750;top:3565;height:570;width:1350;v-text-anchor:middle;" fillcolor="#5B9BD5" filled="t" stroked="t" coordsize="21600,21600" arcsize="0.166666666666667" o:gfxdata="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o84W8AAAA&#10;2gAAAA8AAAAAAAAAAQAgAAAAIgAAAGRycy9kb3ducmV2LnhtbFBLAQIUABQAAAAIAIdO4kAzLwWe&#10;OwAAADkAAAAQAAAAAAAAAAEAIAAAAAsBAABkcnMvc2hhcGV4bWwueG1sUEsFBgAAAAAGAAYAWwEA&#10;ALUDAAAAAA==&#10;">
                  <v:fill on="t" focussize="0,0"/>
                  <v:stroke weight="1.5pt" color="#FFFFFF" miterlimit="8" joinstyle="miter"/>
                  <v:imagedata o:title=""/>
                  <o:lock v:ext="edit" aspectratio="f"/>
                  <v:textbox>
                    <w:txbxContent>
                      <w:p>
                        <w:pPr>
                          <w:spacing w:line="0" w:lineRule="atLeast"/>
                          <w:jc w:val="center"/>
                          <w:rPr>
                            <w:sz w:val="24"/>
                            <w:szCs w:val="24"/>
                          </w:rPr>
                        </w:pPr>
                        <w:r>
                          <w:rPr>
                            <w:rFonts w:hint="eastAsia"/>
                            <w:color w:val="FFFFFF"/>
                            <w:sz w:val="24"/>
                            <w:szCs w:val="24"/>
                          </w:rPr>
                          <w:t>局号</w:t>
                        </w:r>
                      </w:p>
                    </w:txbxContent>
                  </v:textbox>
                </v:roundrect>
                <v:roundrect id="圆角矩形 19" o:spid="_x0000_s1026" o:spt="2" style="position:absolute;left:14795;top:3560;height:570;width:1350;v-text-anchor:middle;" fillcolor="#5B9BD5" filled="t" stroked="t" coordsize="21600,21600" arcsize="0.166666666666667" o:gfxdata="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tdenvQAA&#10;ANsAAAAPAAAAAAAAAAEAIAAAACIAAABkcnMvZG93bnJldi54bWxQSwECFAAUAAAACACHTuJAMy8F&#10;njsAAAA5AAAAEAAAAAAAAAABACAAAAAMAQAAZHJzL3NoYXBleG1sLnhtbFBLBQYAAAAABgAGAFsB&#10;AAC2AwAAAAA=&#10;">
                  <v:fill on="t" focussize="0,0"/>
                  <v:stroke weight="1.5pt" color="#FFFFFF" miterlimit="8" joinstyle="miter"/>
                  <v:imagedata o:title=""/>
                  <o:lock v:ext="edit" aspectratio="f"/>
                  <v:textbox>
                    <w:txbxContent>
                      <w:p>
                        <w:pPr>
                          <w:spacing w:line="0" w:lineRule="atLeast"/>
                          <w:ind w:left="-84" w:leftChars="-40"/>
                          <w:jc w:val="center"/>
                          <w:rPr>
                            <w:sz w:val="24"/>
                            <w:szCs w:val="24"/>
                          </w:rPr>
                        </w:pPr>
                        <w:r>
                          <w:rPr>
                            <w:rFonts w:hint="eastAsia"/>
                            <w:color w:val="FFFFFF"/>
                            <w:sz w:val="24"/>
                            <w:szCs w:val="24"/>
                          </w:rPr>
                          <w:t>随机尾号</w:t>
                        </w:r>
                      </w:p>
                    </w:txbxContent>
                  </v:textbox>
                </v:roundrect>
                <v:group id="组合 12" o:spid="_x0000_s1026" o:spt="203" style="position:absolute;left:10630;top:4255;height:575;width:5525;" coordorigin="10630,4525" coordsize="5525,575" o:gfxdata="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dQjSOvAAAANsAAAAPAAAAAAAAAAEAIAAAACIAAABkcnMvZG93bnJldi54bWxQ&#10;SwECFAAUAAAACACHTuJAMy8FnjsAAAA5AAAAFQAAAAAAAAABACAAAAALAQAAZHJzL2dyb3Vwc2hh&#10;cGV4bWwueG1sUEsFBgAAAAAGAAYAYAEAAMgDAAAAAA==&#10;">
                  <o:lock v:ext="edit" aspectratio="f"/>
                  <v:roundrect id="圆角矩形 15" o:spid="_x0000_s1026" o:spt="2" style="position:absolute;left:10630;top:4525;height:570;width:1350;v-text-anchor:middle;" fillcolor="#5B9BD5" filled="t" stroked="t" coordsize="21600,21600" arcsize="0.166666666666667" o:gfxdata="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SK+xLugAAANsA&#10;AAAPAAAAAAAAAAEAIAAAACIAAABkcnMvZG93bnJldi54bWxQSwECFAAUAAAACACHTuJAMy8FnjsA&#10;AAA5AAAAEAAAAAAAAAABACAAAAAJAQAAZHJzL3NoYXBleG1sLnhtbFBLBQYAAAAABgAGAFsBAACz&#10;AwAAAAA=&#10;">
                    <v:fill on="t" focussize="0,0"/>
                    <v:stroke weight="1.5pt" color="#FFFFFF" miterlimit="8" joinstyle="miter"/>
                    <v:imagedata o:title=""/>
                    <o:lock v:ext="edit" aspectratio="f"/>
                    <v:textbox>
                      <w:txbxContent>
                        <w:p>
                          <w:pPr>
                            <w:spacing w:line="0" w:lineRule="atLeast"/>
                            <w:ind w:left="-84" w:leftChars="-40"/>
                            <w:jc w:val="center"/>
                            <w:rPr>
                              <w:color w:val="FFFFFF"/>
                              <w:sz w:val="24"/>
                              <w:szCs w:val="24"/>
                            </w:rPr>
                          </w:pPr>
                          <w:r>
                            <w:rPr>
                              <w:rFonts w:hint="eastAsia"/>
                              <w:color w:val="FFFFFF"/>
                              <w:sz w:val="24"/>
                              <w:szCs w:val="24"/>
                            </w:rPr>
                            <w:t>移动电话</w:t>
                          </w:r>
                        </w:p>
                      </w:txbxContent>
                    </v:textbox>
                  </v:roundrect>
                  <v:roundrect id="圆角矩形 16" o:spid="_x0000_s1026" o:spt="2" style="position:absolute;left:12750;top:4525;height:570;width:1350;v-text-anchor:middle;" fillcolor="#5B9BD5" filled="t" stroked="t" coordsize="21600,21600" arcsize="0.166666666666667" o:gfxdata="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WdJ0LsAAADb&#10;AAAADwAAAAAAAAABACAAAAAiAAAAZHJzL2Rvd25yZXYueG1sUEsBAhQAFAAAAAgAh07iQDMvBZ47&#10;AAAAOQAAABAAAAAAAAAAAQAgAAAACgEAAGRycy9zaGFwZXhtbC54bWxQSwUGAAAAAAYABgBbAQAA&#10;tAMAAAAA&#10;">
                    <v:fill on="t" focussize="0,0"/>
                    <v:stroke weight="1.5pt" color="#FFFFFF" miterlimit="8" joinstyle="miter"/>
                    <v:imagedata o:title=""/>
                    <o:lock v:ext="edit" aspectratio="f"/>
                    <v:textbox>
                      <w:txbxContent>
                        <w:p>
                          <w:pPr>
                            <w:spacing w:line="0" w:lineRule="atLeast"/>
                            <w:jc w:val="center"/>
                            <w:rPr>
                              <w:color w:val="FFFFFF"/>
                              <w:sz w:val="24"/>
                              <w:szCs w:val="24"/>
                            </w:rPr>
                          </w:pPr>
                          <w:r>
                            <w:rPr>
                              <w:rFonts w:hint="eastAsia"/>
                              <w:color w:val="FFFFFF"/>
                              <w:sz w:val="24"/>
                              <w:szCs w:val="24"/>
                            </w:rPr>
                            <w:t>局号</w:t>
                          </w:r>
                        </w:p>
                      </w:txbxContent>
                    </v:textbox>
                  </v:roundrect>
                  <v:roundrect id="圆角矩形 18" o:spid="_x0000_s1026" o:spt="2" style="position:absolute;left:14805;top:4530;height:570;width:1350;v-text-anchor:middle;" fillcolor="#5B9BD5" filled="t" stroked="t" coordsize="21600,21600" arcsize="0.166666666666667" o:gfxdata="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jtGkugAAANsA&#10;AAAPAAAAAAAAAAEAIAAAACIAAABkcnMvZG93bnJldi54bWxQSwECFAAUAAAACACHTuJAMy8FnjsA&#10;AAA5AAAAEAAAAAAAAAABACAAAAAJAQAAZHJzL3NoYXBleG1sLnhtbFBLBQYAAAAABgAGAFsBAACz&#10;AwAAAAA=&#10;">
                    <v:fill on="t" focussize="0,0"/>
                    <v:stroke weight="1.5pt" color="#FFFFFF" miterlimit="8" joinstyle="miter"/>
                    <v:imagedata o:title=""/>
                    <o:lock v:ext="edit" aspectratio="f"/>
                    <v:textbox>
                      <w:txbxContent>
                        <w:p>
                          <w:pPr>
                            <w:spacing w:line="0" w:lineRule="atLeast"/>
                            <w:ind w:left="-84" w:leftChars="-40"/>
                            <w:jc w:val="center"/>
                            <w:rPr>
                              <w:color w:val="FFFFFF"/>
                              <w:sz w:val="24"/>
                              <w:szCs w:val="24"/>
                            </w:rPr>
                          </w:pPr>
                          <w:r>
                            <w:rPr>
                              <w:rFonts w:hint="eastAsia"/>
                              <w:color w:val="FFFFFF"/>
                              <w:sz w:val="24"/>
                              <w:szCs w:val="24"/>
                            </w:rPr>
                            <w:t>随机尾号</w:t>
                          </w:r>
                        </w:p>
                      </w:txbxContent>
                    </v:textbox>
                  </v:roundrect>
                  <v:shape id="右箭头 23" o:spid="_x0000_s1026" o:spt="13" type="#_x0000_t13" style="position:absolute;left:14325;top:4625;height:375;width:316;v-text-anchor:middle;" fillcolor="#9DC3E6" filled="t" stroked="t" coordsize="21600,21600" o:gfxdata="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2g1Zr4A&#10;AADbAAAADwAAAAAAAAABACAAAAAiAAAAZHJzL2Rvd25yZXYueG1sUEsBAhQAFAAAAAgAh07iQDMv&#10;BZ47AAAAOQAAABAAAAAAAAAAAQAgAAAADQEAAGRycy9zaGFwZXhtbC54bWxQSwUGAAAAAAYABgBb&#10;AQAAtwMAAAAA&#10;" adj="10800,5400">
                    <v:fill on="t" focussize="0,0"/>
                    <v:stroke weight="1.5pt" color="#FFFFFF" miterlimit="8" joinstyle="miter"/>
                    <v:imagedata o:title=""/>
                    <o:lock v:ext="edit" aspectratio="f"/>
                  </v:shape>
                  <v:shape id="右箭头 24" o:spid="_x0000_s1026" o:spt="13" type="#_x0000_t13" style="position:absolute;left:12230;top:4620;height:375;width:316;v-text-anchor:middle;" fillcolor="#9DC3E6" filled="t" stroked="t" coordsize="21600,21600" o:gfxdata="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7qrEb4A&#10;AADbAAAADwAAAAAAAAABACAAAAAiAAAAZHJzL2Rvd25yZXYueG1sUEsBAhQAFAAAAAgAh07iQDMv&#10;BZ47AAAAOQAAABAAAAAAAAAAAQAgAAAADQEAAGRycy9zaGFwZXhtbC54bWxQSwUGAAAAAAYABgBb&#10;AQAAtwMAAAAA&#10;" adj="10800,5400">
                    <v:fill on="t" focussize="0,0"/>
                    <v:stroke weight="1.5pt" color="#FFFFFF" miterlimit="8" joinstyle="miter"/>
                    <v:imagedata o:title=""/>
                    <o:lock v:ext="edit" aspectratio="f"/>
                  </v:shape>
                </v:group>
                <v:shape id="右箭头 25" o:spid="_x0000_s1026" o:spt="13" type="#_x0000_t13" style="position:absolute;left:14315;top:3665;height:375;width:316;v-text-anchor:middle;" fillcolor="#9DC3E6" filled="t" stroked="t" coordsize="21600,21600" o:gfxdata="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PYOir4A&#10;AADbAAAADwAAAAAAAAABACAAAAAiAAAAZHJzL2Rvd25yZXYueG1sUEsBAhQAFAAAAAgAh07iQDMv&#10;BZ47AAAAOQAAABAAAAAAAAAAAQAgAAAADQEAAGRycy9zaGFwZXhtbC54bWxQSwUGAAAAAAYABgBb&#10;AQAAtwMAAAAA&#10;" adj="10800,5400">
                  <v:fill on="t" focussize="0,0"/>
                  <v:stroke weight="1.5pt" color="#FFFFFF" miterlimit="8" joinstyle="miter"/>
                  <v:imagedata o:title=""/>
                  <o:lock v:ext="edit" aspectratio="f"/>
                </v:shape>
                <v:shape id="右箭头 26" o:spid="_x0000_s1026" o:spt="13" type="#_x0000_t13" style="position:absolute;left:12225;top:3665;height:375;width:316;v-text-anchor:middle;" fillcolor="#9DC3E6" filled="t" stroked="t" coordsize="21600,21600" o:gfxdata="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7Wma&#10;+MEAAADbAAAADwAAAAAAAAABACAAAAAiAAAAZHJzL2Rvd25yZXYueG1sUEsBAhQAFAAAAAgAh07i&#10;QDMvBZ47AAAAOQAAABAAAAAAAAAAAQAgAAAAEAEAAGRycy9zaGFwZXhtbC54bWxQSwUGAAAAAAYA&#10;BgBbAQAAugMAAAAA&#10;" adj="10800,5400">
                  <v:fill on="t" focussize="0,0"/>
                  <v:stroke weight="1.5pt" color="#FFFFFF" miterlimit="8" joinstyle="miter"/>
                  <v:imagedata o:title=""/>
                  <o:lock v:ext="edit" aspectratio="f"/>
                </v:shape>
              </v:group>
            </w:pict>
          </mc:Fallback>
        </mc:AlternateContent>
      </w:r>
      <w:r>
        <w:rPr>
          <w:rFonts w:hint="eastAsia" w:ascii="宋体" w:hAnsi="宋体"/>
          <w:color w:val="auto"/>
          <w:sz w:val="24"/>
          <w:szCs w:val="30"/>
        </w:rPr>
        <w:t xml:space="preserve">                     </w:t>
      </w:r>
    </w:p>
    <w:p>
      <w:pPr>
        <w:pStyle w:val="2"/>
        <w:spacing w:before="72" w:beforeLines="30" w:after="72" w:afterLines="30" w:line="400" w:lineRule="exact"/>
        <w:jc w:val="left"/>
        <w:rPr>
          <w:rFonts w:ascii="宋体" w:hAnsi="宋体"/>
          <w:color w:val="auto"/>
          <w:sz w:val="24"/>
          <w:szCs w:val="30"/>
        </w:rPr>
      </w:pPr>
    </w:p>
    <w:p>
      <w:pPr>
        <w:keepNext/>
        <w:snapToGrid w:val="0"/>
        <w:spacing w:line="360" w:lineRule="auto"/>
        <w:ind w:right="84"/>
        <w:rPr>
          <w:rFonts w:ascii="宋体" w:hAnsi="宋体"/>
          <w:color w:val="auto"/>
          <w:szCs w:val="21"/>
        </w:rPr>
      </w:pPr>
    </w:p>
    <w:p>
      <w:pPr>
        <w:jc w:val="center"/>
        <w:rPr>
          <w:rFonts w:eastAsia="黑体"/>
          <w:color w:val="auto"/>
          <w:sz w:val="32"/>
        </w:rPr>
      </w:pPr>
    </w:p>
    <w:p>
      <w:pPr>
        <w:snapToGrid w:val="0"/>
        <w:spacing w:line="360" w:lineRule="exact"/>
        <w:ind w:firstLine="420" w:firstLineChars="200"/>
        <w:rPr>
          <w:rFonts w:ascii="宋体" w:hAnsi="宋体"/>
          <w:color w:val="auto"/>
          <w:szCs w:val="21"/>
        </w:rPr>
      </w:pPr>
      <w:bookmarkStart w:id="9" w:name="_Toc480060485"/>
      <w:bookmarkEnd w:id="9"/>
      <w:bookmarkStart w:id="10" w:name="_Toc479160027"/>
      <w:bookmarkEnd w:id="10"/>
      <w:bookmarkStart w:id="11" w:name="_Toc479797688"/>
      <w:bookmarkEnd w:id="11"/>
      <w:bookmarkStart w:id="12" w:name="_Toc479797556"/>
      <w:bookmarkEnd w:id="12"/>
      <w:bookmarkStart w:id="13" w:name="_Toc479958220"/>
      <w:bookmarkEnd w:id="13"/>
      <w:bookmarkStart w:id="14" w:name="_Toc479957511"/>
      <w:bookmarkEnd w:id="14"/>
      <w:bookmarkStart w:id="15" w:name="_Toc479957624"/>
      <w:bookmarkEnd w:id="15"/>
      <w:bookmarkStart w:id="16" w:name="_Toc480064085"/>
      <w:bookmarkEnd w:id="16"/>
      <w:bookmarkStart w:id="17" w:name="_Toc480050870"/>
      <w:bookmarkEnd w:id="17"/>
      <w:bookmarkStart w:id="18" w:name="_Toc479156660"/>
      <w:bookmarkEnd w:id="18"/>
      <w:bookmarkStart w:id="19" w:name="_Toc479957828"/>
      <w:bookmarkEnd w:id="19"/>
      <w:bookmarkStart w:id="20" w:name="_Toc40803481"/>
      <w:bookmarkEnd w:id="20"/>
      <w:bookmarkStart w:id="21" w:name="_Toc479753994"/>
      <w:bookmarkEnd w:id="21"/>
      <w:bookmarkStart w:id="22" w:name="_Toc479958337"/>
      <w:bookmarkEnd w:id="22"/>
      <w:bookmarkStart w:id="23" w:name="_Toc480052375"/>
      <w:bookmarkEnd w:id="23"/>
      <w:bookmarkStart w:id="24" w:name="_Toc480060638"/>
      <w:bookmarkEnd w:id="24"/>
      <w:bookmarkStart w:id="25" w:name="_Toc479754093"/>
      <w:bookmarkEnd w:id="25"/>
      <w:bookmarkStart w:id="26" w:name="_Toc479349920"/>
      <w:bookmarkEnd w:id="26"/>
      <w:bookmarkStart w:id="27" w:name="_Toc480050732"/>
      <w:bookmarkEnd w:id="27"/>
      <w:bookmarkStart w:id="28" w:name="_Toc39913852"/>
      <w:bookmarkEnd w:id="28"/>
      <w:bookmarkStart w:id="29" w:name="_Toc479156561"/>
      <w:bookmarkEnd w:id="29"/>
      <w:bookmarkStart w:id="30" w:name="_Toc479967506"/>
      <w:bookmarkEnd w:id="30"/>
      <w:bookmarkStart w:id="31" w:name="_Toc479154985"/>
      <w:bookmarkEnd w:id="31"/>
      <w:bookmarkStart w:id="32" w:name="_Toc480067942"/>
      <w:bookmarkEnd w:id="32"/>
      <w:bookmarkStart w:id="33" w:name="_Toc481165321"/>
      <w:bookmarkEnd w:id="33"/>
      <w:bookmarkStart w:id="34" w:name="_Toc479958104"/>
      <w:bookmarkEnd w:id="34"/>
      <w:bookmarkStart w:id="35" w:name="_Toc479957179"/>
      <w:bookmarkEnd w:id="35"/>
      <w:r>
        <w:rPr>
          <w:rFonts w:hint="eastAsia" w:ascii="宋体" w:hAnsi="宋体"/>
          <w:color w:val="auto"/>
          <w:szCs w:val="21"/>
        </w:rPr>
        <w:t>（六）样本量的确定与分配</w:t>
      </w:r>
    </w:p>
    <w:p>
      <w:pPr>
        <w:snapToGrid w:val="0"/>
        <w:spacing w:line="360" w:lineRule="exact"/>
        <w:ind w:firstLine="420" w:firstLineChars="200"/>
        <w:rPr>
          <w:rFonts w:ascii="宋体" w:hAnsi="宋体"/>
          <w:color w:val="auto"/>
          <w:szCs w:val="21"/>
        </w:rPr>
      </w:pPr>
      <w:r>
        <w:rPr>
          <w:rFonts w:ascii="宋体" w:hAnsi="宋体"/>
          <w:color w:val="auto"/>
          <w:szCs w:val="21"/>
        </w:rPr>
        <w:t>本次调查的样本量为6500个，每个</w:t>
      </w:r>
      <w:r>
        <w:rPr>
          <w:rFonts w:hint="eastAsia" w:ascii="宋体" w:hAnsi="宋体"/>
          <w:color w:val="auto"/>
          <w:szCs w:val="21"/>
        </w:rPr>
        <w:t>设区</w:t>
      </w:r>
      <w:r>
        <w:rPr>
          <w:rFonts w:ascii="宋体" w:hAnsi="宋体"/>
          <w:color w:val="auto"/>
          <w:szCs w:val="21"/>
        </w:rPr>
        <w:t>市各500个，样本的城乡配额，按</w:t>
      </w:r>
      <w:r>
        <w:rPr>
          <w:rFonts w:hint="eastAsia" w:ascii="宋体" w:hAnsi="宋体"/>
          <w:color w:val="auto"/>
          <w:szCs w:val="21"/>
        </w:rPr>
        <w:t>各设区市</w:t>
      </w:r>
      <w:r>
        <w:rPr>
          <w:rFonts w:ascii="宋体" w:hAnsi="宋体"/>
          <w:color w:val="auto"/>
          <w:szCs w:val="21"/>
        </w:rPr>
        <w:t>202</w:t>
      </w:r>
      <w:r>
        <w:rPr>
          <w:rFonts w:hint="eastAsia" w:ascii="宋体" w:hAnsi="宋体"/>
          <w:color w:val="auto"/>
          <w:szCs w:val="21"/>
        </w:rPr>
        <w:t>1</w:t>
      </w:r>
      <w:r>
        <w:rPr>
          <w:rFonts w:ascii="宋体" w:hAnsi="宋体"/>
          <w:color w:val="auto"/>
          <w:szCs w:val="21"/>
        </w:rPr>
        <w:t>年末城镇化率进行分配（详见表1）。</w:t>
      </w:r>
    </w:p>
    <w:p>
      <w:pPr>
        <w:snapToGrid w:val="0"/>
        <w:spacing w:line="360" w:lineRule="exact"/>
        <w:ind w:firstLine="420" w:firstLineChars="200"/>
        <w:rPr>
          <w:rFonts w:ascii="宋体" w:hAnsi="宋体"/>
          <w:color w:val="auto"/>
          <w:szCs w:val="21"/>
        </w:rPr>
      </w:pPr>
      <w:r>
        <w:rPr>
          <w:rFonts w:ascii="宋体" w:hAnsi="宋体"/>
          <w:color w:val="auto"/>
          <w:szCs w:val="21"/>
        </w:rPr>
        <w:t>抽样通过计算机辅助电话调查系统(CATI)，依据地市的电话局端号，采用简单随机抽样的方法抽取。各市先完成</w:t>
      </w:r>
      <w:r>
        <w:rPr>
          <w:rFonts w:hint="eastAsia" w:ascii="宋体" w:hAnsi="宋体"/>
          <w:color w:val="auto"/>
          <w:szCs w:val="21"/>
        </w:rPr>
        <w:t>不低于75</w:t>
      </w:r>
      <w:r>
        <w:rPr>
          <w:rFonts w:ascii="宋体" w:hAnsi="宋体"/>
          <w:color w:val="auto"/>
          <w:szCs w:val="21"/>
        </w:rPr>
        <w:t>%的手机用户，再用固话补足城镇、农村样本。</w:t>
      </w:r>
    </w:p>
    <w:p>
      <w:pPr>
        <w:snapToGrid w:val="0"/>
        <w:spacing w:line="360" w:lineRule="exact"/>
        <w:ind w:firstLine="420" w:firstLineChars="200"/>
        <w:rPr>
          <w:rFonts w:ascii="宋体" w:hAnsi="宋体"/>
          <w:color w:val="auto"/>
          <w:szCs w:val="21"/>
        </w:rPr>
      </w:pPr>
      <w:r>
        <w:rPr>
          <w:rFonts w:ascii="宋体" w:hAnsi="宋体"/>
          <w:color w:val="auto"/>
          <w:szCs w:val="21"/>
        </w:rPr>
        <w:t>调查方式是通过计算机辅助电话调查系统(CATI)，对被抽中的调查对象进行问卷调查。</w:t>
      </w:r>
    </w:p>
    <w:tbl>
      <w:tblPr>
        <w:tblStyle w:val="7"/>
        <w:tblpPr w:leftFromText="180" w:rightFromText="180" w:vertAnchor="text" w:horzAnchor="page" w:tblpX="1696" w:tblpY="54"/>
        <w:tblW w:w="0" w:type="auto"/>
        <w:tblInd w:w="0" w:type="dxa"/>
        <w:tblLayout w:type="fixed"/>
        <w:tblCellMar>
          <w:top w:w="0" w:type="dxa"/>
          <w:left w:w="0" w:type="dxa"/>
          <w:bottom w:w="0" w:type="dxa"/>
          <w:right w:w="0" w:type="dxa"/>
        </w:tblCellMar>
      </w:tblPr>
      <w:tblGrid>
        <w:gridCol w:w="851"/>
        <w:gridCol w:w="1276"/>
        <w:gridCol w:w="1134"/>
        <w:gridCol w:w="1134"/>
      </w:tblGrid>
      <w:tr>
        <w:tblPrEx>
          <w:tblCellMar>
            <w:top w:w="0" w:type="dxa"/>
            <w:left w:w="0" w:type="dxa"/>
            <w:bottom w:w="0" w:type="dxa"/>
            <w:right w:w="0" w:type="dxa"/>
          </w:tblCellMar>
        </w:tblPrEx>
        <w:trPr>
          <w:trHeight w:val="450" w:hRule="atLeast"/>
        </w:trPr>
        <w:tc>
          <w:tcPr>
            <w:tcW w:w="4395" w:type="dxa"/>
            <w:gridSpan w:val="4"/>
            <w:tcBorders>
              <w:top w:val="nil"/>
              <w:left w:val="nil"/>
              <w:bottom w:val="double" w:color="000000" w:sz="6" w:space="0"/>
              <w:right w:val="nil"/>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表1  各</w:t>
            </w:r>
            <w:r>
              <w:rPr>
                <w:rFonts w:hint="eastAsia" w:ascii="宋体" w:hAnsi="宋体"/>
                <w:color w:val="auto"/>
                <w:szCs w:val="21"/>
              </w:rPr>
              <w:t>设区</w:t>
            </w:r>
            <w:r>
              <w:rPr>
                <w:rFonts w:ascii="宋体" w:hAnsi="宋体"/>
                <w:color w:val="auto"/>
                <w:szCs w:val="21"/>
              </w:rPr>
              <w:t>市城乡样本分配</w:t>
            </w:r>
          </w:p>
        </w:tc>
      </w:tr>
      <w:tr>
        <w:tblPrEx>
          <w:tblCellMar>
            <w:top w:w="0" w:type="dxa"/>
            <w:left w:w="0" w:type="dxa"/>
            <w:bottom w:w="0" w:type="dxa"/>
            <w:right w:w="0" w:type="dxa"/>
          </w:tblCellMar>
        </w:tblPrEx>
        <w:trPr>
          <w:trHeight w:val="51" w:hRule="atLeast"/>
        </w:trPr>
        <w:tc>
          <w:tcPr>
            <w:tcW w:w="851" w:type="dxa"/>
            <w:tcBorders>
              <w:top w:val="nil"/>
              <w:left w:val="nil"/>
              <w:bottom w:val="double" w:color="000000" w:sz="6" w:space="0"/>
              <w:right w:val="single" w:color="000000" w:sz="4" w:space="0"/>
            </w:tcBorders>
            <w:shd w:val="clear" w:color="auto" w:fill="auto"/>
            <w:tcMar>
              <w:top w:w="0" w:type="dxa"/>
              <w:left w:w="108" w:type="dxa"/>
              <w:bottom w:w="0" w:type="dxa"/>
              <w:right w:w="108" w:type="dxa"/>
            </w:tcMar>
          </w:tcPr>
          <w:p>
            <w:pPr>
              <w:snapToGrid w:val="0"/>
              <w:spacing w:line="360" w:lineRule="exact"/>
              <w:ind w:firstLine="420" w:firstLineChars="200"/>
              <w:rPr>
                <w:rFonts w:ascii="宋体" w:hAnsi="宋体"/>
                <w:color w:val="auto"/>
                <w:szCs w:val="21"/>
              </w:rPr>
            </w:pPr>
          </w:p>
        </w:tc>
        <w:tc>
          <w:tcPr>
            <w:tcW w:w="1276" w:type="dxa"/>
            <w:tcBorders>
              <w:top w:val="nil"/>
              <w:left w:val="nil"/>
              <w:bottom w:val="double" w:color="000000" w:sz="6" w:space="0"/>
              <w:right w:val="single" w:color="000000" w:sz="4" w:space="0"/>
            </w:tcBorders>
            <w:shd w:val="clear" w:color="auto" w:fill="auto"/>
            <w:tcMar>
              <w:top w:w="0" w:type="dxa"/>
              <w:left w:w="108" w:type="dxa"/>
              <w:bottom w:w="0" w:type="dxa"/>
              <w:right w:w="108" w:type="dxa"/>
            </w:tcMar>
          </w:tcPr>
          <w:p>
            <w:pPr>
              <w:snapToGrid w:val="0"/>
              <w:spacing w:line="360" w:lineRule="exact"/>
              <w:rPr>
                <w:rFonts w:ascii="宋体" w:hAnsi="宋体"/>
                <w:color w:val="auto"/>
                <w:szCs w:val="21"/>
              </w:rPr>
            </w:pPr>
            <w:r>
              <w:rPr>
                <w:rFonts w:ascii="宋体" w:hAnsi="宋体"/>
                <w:color w:val="auto"/>
                <w:szCs w:val="21"/>
              </w:rPr>
              <w:t>城镇化率%</w:t>
            </w:r>
          </w:p>
        </w:tc>
        <w:tc>
          <w:tcPr>
            <w:tcW w:w="1134" w:type="dxa"/>
            <w:tcBorders>
              <w:top w:val="nil"/>
              <w:left w:val="nil"/>
              <w:bottom w:val="double" w:color="000000" w:sz="6" w:space="0"/>
              <w:right w:val="single" w:color="000000" w:sz="4" w:space="0"/>
            </w:tcBorders>
            <w:shd w:val="clear" w:color="auto" w:fill="auto"/>
            <w:tcMar>
              <w:top w:w="0" w:type="dxa"/>
              <w:left w:w="108" w:type="dxa"/>
              <w:bottom w:w="0" w:type="dxa"/>
              <w:right w:w="108" w:type="dxa"/>
            </w:tcMar>
          </w:tcPr>
          <w:p>
            <w:pPr>
              <w:snapToGrid w:val="0"/>
              <w:spacing w:line="360" w:lineRule="exact"/>
              <w:rPr>
                <w:rFonts w:ascii="宋体" w:hAnsi="宋体"/>
                <w:color w:val="auto"/>
                <w:szCs w:val="21"/>
              </w:rPr>
            </w:pPr>
            <w:r>
              <w:rPr>
                <w:rFonts w:ascii="宋体" w:hAnsi="宋体"/>
                <w:color w:val="auto"/>
                <w:szCs w:val="21"/>
              </w:rPr>
              <w:t>城镇（个）</w:t>
            </w:r>
          </w:p>
        </w:tc>
        <w:tc>
          <w:tcPr>
            <w:tcW w:w="1134" w:type="dxa"/>
            <w:tcBorders>
              <w:top w:val="nil"/>
              <w:left w:val="nil"/>
              <w:bottom w:val="double" w:color="000000" w:sz="6" w:space="0"/>
              <w:right w:val="nil"/>
            </w:tcBorders>
            <w:shd w:val="clear" w:color="auto" w:fill="auto"/>
            <w:tcMar>
              <w:top w:w="0" w:type="dxa"/>
              <w:left w:w="108" w:type="dxa"/>
              <w:bottom w:w="0" w:type="dxa"/>
              <w:right w:w="108" w:type="dxa"/>
            </w:tcMar>
          </w:tcPr>
          <w:p>
            <w:pPr>
              <w:snapToGrid w:val="0"/>
              <w:spacing w:line="360" w:lineRule="exact"/>
              <w:rPr>
                <w:rFonts w:ascii="宋体" w:hAnsi="宋体"/>
                <w:color w:val="auto"/>
                <w:szCs w:val="21"/>
              </w:rPr>
            </w:pPr>
            <w:r>
              <w:rPr>
                <w:rFonts w:ascii="宋体" w:hAnsi="宋体"/>
                <w:color w:val="auto"/>
                <w:szCs w:val="21"/>
              </w:rPr>
              <w:t>农村（个）</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南京</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86.9</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435</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65</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无锡</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82.9</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415</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85</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徐州</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66.2</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331</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169</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常州</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77.6</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388</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112</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苏州</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81.9</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410</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90</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南通</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71.2</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356</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144</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连云港</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62.4</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312</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188</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淮安</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66.2</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331</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169</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盐城</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64.8</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324</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176</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扬州</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71.4</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357</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143</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镇江</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79.9</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400</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100</w:t>
            </w:r>
          </w:p>
        </w:tc>
      </w:tr>
      <w:tr>
        <w:tblPrEx>
          <w:tblCellMar>
            <w:top w:w="0" w:type="dxa"/>
            <w:left w:w="0" w:type="dxa"/>
            <w:bottom w:w="0" w:type="dxa"/>
            <w:right w:w="0" w:type="dxa"/>
          </w:tblCellMar>
        </w:tblPrEx>
        <w:trPr>
          <w:trHeight w:val="51" w:hRule="atLeast"/>
        </w:trPr>
        <w:tc>
          <w:tcPr>
            <w:tcW w:w="851"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泰州</w:t>
            </w:r>
          </w:p>
        </w:tc>
        <w:tc>
          <w:tcPr>
            <w:tcW w:w="1276"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68.6</w:t>
            </w:r>
          </w:p>
        </w:tc>
        <w:tc>
          <w:tcPr>
            <w:tcW w:w="1134" w:type="dxa"/>
            <w:tcBorders>
              <w:top w:val="nil"/>
              <w:left w:val="nil"/>
              <w:bottom w:val="single" w:color="000000" w:sz="4"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343</w:t>
            </w:r>
          </w:p>
        </w:tc>
        <w:tc>
          <w:tcPr>
            <w:tcW w:w="1134" w:type="dxa"/>
            <w:tcBorders>
              <w:top w:val="nil"/>
              <w:left w:val="nil"/>
              <w:bottom w:val="single" w:color="000000" w:sz="4"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157</w:t>
            </w:r>
          </w:p>
        </w:tc>
      </w:tr>
      <w:tr>
        <w:tblPrEx>
          <w:tblCellMar>
            <w:top w:w="0" w:type="dxa"/>
            <w:left w:w="0" w:type="dxa"/>
            <w:bottom w:w="0" w:type="dxa"/>
            <w:right w:w="0" w:type="dxa"/>
          </w:tblCellMar>
        </w:tblPrEx>
        <w:trPr>
          <w:trHeight w:val="51" w:hRule="atLeast"/>
        </w:trPr>
        <w:tc>
          <w:tcPr>
            <w:tcW w:w="851" w:type="dxa"/>
            <w:tcBorders>
              <w:top w:val="nil"/>
              <w:left w:val="nil"/>
              <w:bottom w:val="nil"/>
              <w:right w:val="single" w:color="000000" w:sz="4" w:space="0"/>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宿迁</w:t>
            </w:r>
          </w:p>
        </w:tc>
        <w:tc>
          <w:tcPr>
            <w:tcW w:w="1276" w:type="dxa"/>
            <w:tcBorders>
              <w:top w:val="nil"/>
              <w:left w:val="nil"/>
              <w:bottom w:val="nil"/>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63.2</w:t>
            </w:r>
          </w:p>
        </w:tc>
        <w:tc>
          <w:tcPr>
            <w:tcW w:w="1134" w:type="dxa"/>
            <w:tcBorders>
              <w:top w:val="nil"/>
              <w:left w:val="nil"/>
              <w:bottom w:val="nil"/>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316</w:t>
            </w:r>
          </w:p>
        </w:tc>
        <w:tc>
          <w:tcPr>
            <w:tcW w:w="1134" w:type="dxa"/>
            <w:tcBorders>
              <w:top w:val="nil"/>
              <w:left w:val="nil"/>
              <w:bottom w:val="nil"/>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184</w:t>
            </w:r>
          </w:p>
        </w:tc>
      </w:tr>
      <w:tr>
        <w:tblPrEx>
          <w:tblCellMar>
            <w:top w:w="0" w:type="dxa"/>
            <w:left w:w="0" w:type="dxa"/>
            <w:bottom w:w="0" w:type="dxa"/>
            <w:right w:w="0" w:type="dxa"/>
          </w:tblCellMar>
        </w:tblPrEx>
        <w:trPr>
          <w:trHeight w:val="240" w:hRule="atLeast"/>
        </w:trPr>
        <w:tc>
          <w:tcPr>
            <w:tcW w:w="851" w:type="dxa"/>
            <w:tcBorders>
              <w:top w:val="single" w:color="000000" w:sz="4" w:space="0"/>
              <w:left w:val="nil"/>
              <w:bottom w:val="double" w:color="000000" w:sz="6" w:space="0"/>
              <w:right w:val="nil"/>
            </w:tcBorders>
            <w:shd w:val="clear" w:color="auto" w:fill="auto"/>
            <w:tcMar>
              <w:top w:w="0" w:type="dxa"/>
              <w:left w:w="108" w:type="dxa"/>
              <w:bottom w:w="0" w:type="dxa"/>
              <w:right w:w="108" w:type="dxa"/>
            </w:tcMar>
            <w:vAlign w:val="center"/>
          </w:tcPr>
          <w:p>
            <w:pPr>
              <w:snapToGrid w:val="0"/>
              <w:spacing w:line="360" w:lineRule="exact"/>
              <w:rPr>
                <w:rFonts w:ascii="宋体" w:hAnsi="宋体"/>
                <w:color w:val="auto"/>
                <w:szCs w:val="21"/>
              </w:rPr>
            </w:pPr>
            <w:r>
              <w:rPr>
                <w:rFonts w:ascii="宋体" w:hAnsi="宋体"/>
                <w:color w:val="auto"/>
                <w:szCs w:val="21"/>
              </w:rPr>
              <w:t>全省</w:t>
            </w:r>
          </w:p>
        </w:tc>
        <w:tc>
          <w:tcPr>
            <w:tcW w:w="1276" w:type="dxa"/>
            <w:tcBorders>
              <w:top w:val="single" w:color="000000" w:sz="4" w:space="0"/>
              <w:left w:val="single" w:color="000000" w:sz="4" w:space="0"/>
              <w:bottom w:val="double" w:color="000000" w:sz="6"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73.9</w:t>
            </w:r>
          </w:p>
        </w:tc>
        <w:tc>
          <w:tcPr>
            <w:tcW w:w="1134" w:type="dxa"/>
            <w:tcBorders>
              <w:top w:val="single" w:color="000000" w:sz="4" w:space="0"/>
              <w:left w:val="nil"/>
              <w:bottom w:val="double" w:color="000000" w:sz="6" w:space="0"/>
              <w:right w:val="single" w:color="000000" w:sz="4" w:space="0"/>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4718</w:t>
            </w:r>
          </w:p>
        </w:tc>
        <w:tc>
          <w:tcPr>
            <w:tcW w:w="1134" w:type="dxa"/>
            <w:tcBorders>
              <w:top w:val="single" w:color="000000" w:sz="4" w:space="0"/>
              <w:left w:val="nil"/>
              <w:bottom w:val="double" w:color="000000" w:sz="6" w:space="0"/>
              <w:right w:val="nil"/>
            </w:tcBorders>
            <w:shd w:val="clear" w:color="auto" w:fill="auto"/>
            <w:tcMar>
              <w:top w:w="0" w:type="dxa"/>
              <w:left w:w="108" w:type="dxa"/>
              <w:bottom w:w="0" w:type="dxa"/>
              <w:right w:w="108" w:type="dxa"/>
            </w:tcMar>
            <w:vAlign w:val="center"/>
          </w:tcPr>
          <w:p>
            <w:pPr>
              <w:keepNext w:val="0"/>
              <w:keepLines w:val="0"/>
              <w:widowControl/>
              <w:suppressLineNumbers w:val="0"/>
              <w:jc w:val="both"/>
              <w:textAlignment w:val="center"/>
              <w:rPr>
                <w:color w:val="auto"/>
              </w:rPr>
            </w:pPr>
            <w:r>
              <w:rPr>
                <w:rFonts w:hint="default" w:ascii="Calibri" w:hAnsi="Calibri" w:eastAsia="宋体" w:cs="Calibri"/>
                <w:i w:val="0"/>
                <w:iCs w:val="0"/>
                <w:color w:val="auto"/>
                <w:kern w:val="0"/>
                <w:sz w:val="21"/>
                <w:szCs w:val="21"/>
                <w:u w:val="none"/>
                <w:lang w:val="en-US" w:eastAsia="zh-CN" w:bidi="ar"/>
              </w:rPr>
              <w:t>1782</w:t>
            </w:r>
          </w:p>
        </w:tc>
      </w:tr>
    </w:tbl>
    <w:p>
      <w:pPr>
        <w:rPr>
          <w:color w:val="auto"/>
        </w:rPr>
      </w:pPr>
    </w:p>
    <w:sectPr>
      <w:headerReference r:id="rId4" w:type="default"/>
      <w:pgSz w:w="11906" w:h="16838"/>
      <w:pgMar w:top="1418" w:right="1247" w:bottom="1247" w:left="1247" w:header="851" w:footer="851" w:gutter="0"/>
      <w:pgNumType w:fmt="numberInDash"/>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6"/>
      </w:pPr>
      <w:r>
        <w:rPr>
          <w:rStyle w:val="9"/>
        </w:rPr>
        <w:footnoteRef/>
      </w:r>
      <w:r>
        <w:t xml:space="preserve"> </w:t>
      </w:r>
      <w:r>
        <w:rPr>
          <w:rFonts w:hint="eastAsia" w:ascii="宋体" w:hAnsi="宋体"/>
        </w:rPr>
        <w:t>具体指县级单位固话前4位或前3位。</w:t>
      </w:r>
    </w:p>
  </w:footnote>
  <w:footnote w:id="1">
    <w:p>
      <w:pPr>
        <w:pStyle w:val="6"/>
      </w:pPr>
      <w:r>
        <w:rPr>
          <w:rStyle w:val="9"/>
        </w:rPr>
        <w:footnoteRef/>
      </w:r>
      <w:r>
        <w:t xml:space="preserve"> </w:t>
      </w:r>
      <w:r>
        <w:rPr>
          <w:rFonts w:hint="eastAsia" w:ascii="宋体" w:hAnsi="宋体"/>
        </w:rPr>
        <w:t>具体指前7位，即网络识别号3位+地区编码4—7位。</w:t>
      </w:r>
    </w:p>
  </w:footnote>
  <w:footnote w:id="2">
    <w:p>
      <w:pPr>
        <w:pStyle w:val="6"/>
      </w:pPr>
      <w:r>
        <w:rPr>
          <w:rStyle w:val="9"/>
        </w:rPr>
        <w:footnoteRef/>
      </w:r>
      <w:r>
        <w:t xml:space="preserve"> </w:t>
      </w:r>
      <w:r>
        <w:rPr>
          <w:rFonts w:hint="eastAsia" w:ascii="宋体" w:hAnsi="宋体"/>
          <w:sz w:val="20"/>
        </w:rPr>
        <w:t>由于各地区固话号码位数（7位或8位）存在差异，统一按后四位尾号随机抽取。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7650" cy="144145"/>
              <wp:effectExtent l="0" t="0" r="3810" b="1270"/>
              <wp:wrapNone/>
              <wp:docPr id="37" name="文本框 37"/>
              <wp:cNvGraphicFramePr/>
              <a:graphic xmlns:a="http://schemas.openxmlformats.org/drawingml/2006/main">
                <a:graphicData uri="http://schemas.microsoft.com/office/word/2010/wordprocessingShape">
                  <wps:wsp>
                    <wps:cNvSpPr txBox="1">
                      <a:spLocks noChangeArrowheads="1"/>
                    </wps:cNvSpPr>
                    <wps:spPr bwMode="auto">
                      <a:xfrm>
                        <a:off x="0" y="0"/>
                        <a:ext cx="247650" cy="144145"/>
                      </a:xfrm>
                      <a:prstGeom prst="rect">
                        <a:avLst/>
                      </a:prstGeom>
                      <a:noFill/>
                      <a:ln>
                        <a:noFill/>
                      </a:ln>
                    </wps:spPr>
                    <wps:txbx>
                      <w:txbxContent>
                        <w:p>
                          <w:pPr>
                            <w:pStyle w:val="5"/>
                            <w:pBdr>
                              <w:bottom w:val="none" w:color="auto" w:sz="0" w:space="1"/>
                            </w:pBdr>
                          </w:pPr>
                          <w:r>
                            <w:fldChar w:fldCharType="begin"/>
                          </w:r>
                          <w:r>
                            <w:instrText xml:space="preserve"> PAGE  \* MERGEFORMAT </w:instrText>
                          </w:r>
                          <w:r>
                            <w:fldChar w:fldCharType="separate"/>
                          </w:r>
                          <w:r>
                            <w:t>- 6 -</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35pt;width:19.5pt;mso-position-horizontal:outside;mso-position-horizontal-relative:margin;mso-wrap-style:none;z-index:251659264;mso-width-relative:page;mso-height-relative:page;" filled="f" stroked="f" coordsize="21600,21600" o:gfxdata="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&#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vHhirRAAAAAwEAAA8AAAAAAAAAAQAgAAAAIgAAAGRy&#10;cy9kb3ducmV2LnhtbFBLAQIUABQAAAAIAIdO4kCOvL2fDAIAAAQEAAAOAAAAAAAAAAEAIAAAACAB&#10;AABkcnMvZTJvRG9jLnhtbFBLBQYAAAAABgAGAFkBAACeBQAAAAA=&#10;">
              <v:fill on="f" focussize="0,0"/>
              <v:stroke on="f"/>
              <v:imagedata o:title=""/>
              <o:lock v:ext="edit" aspectratio="f"/>
              <v:textbox inset="0mm,0mm,0mm,0mm" style="mso-fit-shape-to-text:t;">
                <w:txbxContent>
                  <w:p>
                    <w:pPr>
                      <w:pStyle w:val="5"/>
                      <w:pBdr>
                        <w:bottom w:val="none" w:color="auto" w:sz="0" w:space="1"/>
                      </w:pBdr>
                    </w:pPr>
                    <w:r>
                      <w:fldChar w:fldCharType="begin"/>
                    </w:r>
                    <w:r>
                      <w:instrText xml:space="preserve"> PAGE  \* MERGEFORMAT </w:instrText>
                    </w:r>
                    <w:r>
                      <w:fldChar w:fldCharType="separate"/>
                    </w:r>
                    <w:r>
                      <w:t>- 6 -</w:t>
                    </w:r>
                    <w:r>
                      <w:fldChar w:fldCharType="end"/>
                    </w:r>
                  </w:p>
                </w:txbxContent>
              </v:textbox>
            </v:shape>
          </w:pict>
        </mc:Fallback>
      </mc:AlternateContent>
    </w:r>
    <w:r>
      <w:rPr>
        <w:rFonts w:hint="eastAsia"/>
      </w:rPr>
      <w:t>公众生态环境满意度调查制度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D7E778"/>
    <w:multiLevelType w:val="singleLevel"/>
    <w:tmpl w:val="FDD7E778"/>
    <w:lvl w:ilvl="0" w:tentative="0">
      <w:start w:val="4"/>
      <w:numFmt w:val="chineseCounting"/>
      <w:suff w:val="nothing"/>
      <w:lvlText w:val="（%1）"/>
      <w:lvlJc w:val="left"/>
      <w:rPr>
        <w:rFonts w:hint="eastAsia"/>
      </w:rPr>
    </w:lvl>
  </w:abstractNum>
  <w:abstractNum w:abstractNumId="1">
    <w:nsid w:val="FEFCFF76"/>
    <w:multiLevelType w:val="singleLevel"/>
    <w:tmpl w:val="FEFCFF76"/>
    <w:lvl w:ilvl="0" w:tentative="0">
      <w:start w:val="1"/>
      <w:numFmt w:val="chineseCounting"/>
      <w:suff w:val="nothing"/>
      <w:lvlText w:val="（%1）"/>
      <w:lvlJc w:val="left"/>
      <w:rPr>
        <w:rFonts w:hint="eastAsia"/>
      </w:rPr>
    </w:lvl>
  </w:abstractNum>
  <w:abstractNum w:abstractNumId="2">
    <w:nsid w:val="00197814"/>
    <w:multiLevelType w:val="multilevel"/>
    <w:tmpl w:val="00197814"/>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3">
    <w:nsid w:val="01455F8B"/>
    <w:multiLevelType w:val="multilevel"/>
    <w:tmpl w:val="01455F8B"/>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4">
    <w:nsid w:val="0177722A"/>
    <w:multiLevelType w:val="multilevel"/>
    <w:tmpl w:val="0177722A"/>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5">
    <w:nsid w:val="1A986202"/>
    <w:multiLevelType w:val="multilevel"/>
    <w:tmpl w:val="1A986202"/>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6">
    <w:nsid w:val="1C866B57"/>
    <w:multiLevelType w:val="multilevel"/>
    <w:tmpl w:val="1C866B57"/>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7">
    <w:nsid w:val="1ECE012D"/>
    <w:multiLevelType w:val="multilevel"/>
    <w:tmpl w:val="1ECE012D"/>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8">
    <w:nsid w:val="2C9F01DE"/>
    <w:multiLevelType w:val="multilevel"/>
    <w:tmpl w:val="2C9F01DE"/>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9">
    <w:nsid w:val="2CC81F29"/>
    <w:multiLevelType w:val="multilevel"/>
    <w:tmpl w:val="2CC81F29"/>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0">
    <w:nsid w:val="2F7A18D8"/>
    <w:multiLevelType w:val="multilevel"/>
    <w:tmpl w:val="2F7A18D8"/>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1">
    <w:nsid w:val="457B3DE2"/>
    <w:multiLevelType w:val="multilevel"/>
    <w:tmpl w:val="457B3DE2"/>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2">
    <w:nsid w:val="4E794044"/>
    <w:multiLevelType w:val="multilevel"/>
    <w:tmpl w:val="4E794044"/>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3">
    <w:nsid w:val="4EA97A84"/>
    <w:multiLevelType w:val="multilevel"/>
    <w:tmpl w:val="4EA97A84"/>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4">
    <w:nsid w:val="7BFB1E84"/>
    <w:multiLevelType w:val="multilevel"/>
    <w:tmpl w:val="7BFB1E84"/>
    <w:lvl w:ilvl="0" w:tentative="0">
      <w:start w:val="1"/>
      <w:numFmt w:val="decimalEnclosedParen"/>
      <w:lvlText w:val="%1"/>
      <w:lvlJc w:val="left"/>
      <w:pPr>
        <w:ind w:left="720" w:hanging="36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num w:numId="1">
    <w:abstractNumId w:val="12"/>
  </w:num>
  <w:num w:numId="2">
    <w:abstractNumId w:val="3"/>
  </w:num>
  <w:num w:numId="3">
    <w:abstractNumId w:val="8"/>
  </w:num>
  <w:num w:numId="4">
    <w:abstractNumId w:val="6"/>
  </w:num>
  <w:num w:numId="5">
    <w:abstractNumId w:val="2"/>
  </w:num>
  <w:num w:numId="6">
    <w:abstractNumId w:val="10"/>
  </w:num>
  <w:num w:numId="7">
    <w:abstractNumId w:val="4"/>
  </w:num>
  <w:num w:numId="8">
    <w:abstractNumId w:val="11"/>
  </w:num>
  <w:num w:numId="9">
    <w:abstractNumId w:val="5"/>
  </w:num>
  <w:num w:numId="10">
    <w:abstractNumId w:val="13"/>
  </w:num>
  <w:num w:numId="11">
    <w:abstractNumId w:val="7"/>
  </w:num>
  <w:num w:numId="12">
    <w:abstractNumId w:val="14"/>
  </w:num>
  <w:num w:numId="13">
    <w:abstractNumId w:val="9"/>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6"/>
    <w:footnote w:id="7"/>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RhNzM1YjE3NTFkNDA5NWI1NGU1ZjI4Njc2YjFjY2IifQ=="/>
  </w:docVars>
  <w:rsids>
    <w:rsidRoot w:val="00126CA9"/>
    <w:rsid w:val="00086322"/>
    <w:rsid w:val="00093DC3"/>
    <w:rsid w:val="001060BD"/>
    <w:rsid w:val="00114CC3"/>
    <w:rsid w:val="00126CA9"/>
    <w:rsid w:val="001845E0"/>
    <w:rsid w:val="001902D5"/>
    <w:rsid w:val="001F1855"/>
    <w:rsid w:val="001F47A9"/>
    <w:rsid w:val="00232BB3"/>
    <w:rsid w:val="0023460A"/>
    <w:rsid w:val="002D39D8"/>
    <w:rsid w:val="003235D6"/>
    <w:rsid w:val="0039419F"/>
    <w:rsid w:val="003B3CEF"/>
    <w:rsid w:val="003F2E0A"/>
    <w:rsid w:val="004D5EC2"/>
    <w:rsid w:val="00511C34"/>
    <w:rsid w:val="00513F83"/>
    <w:rsid w:val="00516835"/>
    <w:rsid w:val="00553538"/>
    <w:rsid w:val="005554E7"/>
    <w:rsid w:val="005B3FC9"/>
    <w:rsid w:val="005E0ECE"/>
    <w:rsid w:val="0067261F"/>
    <w:rsid w:val="006B6D1A"/>
    <w:rsid w:val="006C5709"/>
    <w:rsid w:val="006D51D5"/>
    <w:rsid w:val="006E5A98"/>
    <w:rsid w:val="007C329F"/>
    <w:rsid w:val="00822472"/>
    <w:rsid w:val="00847DCF"/>
    <w:rsid w:val="00876C53"/>
    <w:rsid w:val="008C28E8"/>
    <w:rsid w:val="008D34D4"/>
    <w:rsid w:val="008F5BA7"/>
    <w:rsid w:val="00920778"/>
    <w:rsid w:val="009A60D7"/>
    <w:rsid w:val="009B3140"/>
    <w:rsid w:val="00A330C9"/>
    <w:rsid w:val="00A7009D"/>
    <w:rsid w:val="00A97EA9"/>
    <w:rsid w:val="00AE1AFC"/>
    <w:rsid w:val="00B03BC3"/>
    <w:rsid w:val="00B47B03"/>
    <w:rsid w:val="00B56DA5"/>
    <w:rsid w:val="00B75FAF"/>
    <w:rsid w:val="00B84756"/>
    <w:rsid w:val="00BB3D04"/>
    <w:rsid w:val="00BC2675"/>
    <w:rsid w:val="00C143B7"/>
    <w:rsid w:val="00C17097"/>
    <w:rsid w:val="00C63A60"/>
    <w:rsid w:val="00C714DC"/>
    <w:rsid w:val="00CE2BE3"/>
    <w:rsid w:val="00D12E1E"/>
    <w:rsid w:val="00D201A9"/>
    <w:rsid w:val="00E63E81"/>
    <w:rsid w:val="00E878BE"/>
    <w:rsid w:val="00E9106A"/>
    <w:rsid w:val="00E915E0"/>
    <w:rsid w:val="00EC09DC"/>
    <w:rsid w:val="00EF2266"/>
    <w:rsid w:val="00F02CE5"/>
    <w:rsid w:val="00F12B73"/>
    <w:rsid w:val="00F41C07"/>
    <w:rsid w:val="00F46B8C"/>
    <w:rsid w:val="00F618E2"/>
    <w:rsid w:val="00F87FEB"/>
    <w:rsid w:val="00FA6508"/>
    <w:rsid w:val="00FB6DFB"/>
    <w:rsid w:val="2007523A"/>
    <w:rsid w:val="24F96845"/>
    <w:rsid w:val="26FD363C"/>
    <w:rsid w:val="2AF01320"/>
    <w:rsid w:val="3709056B"/>
    <w:rsid w:val="3A301580"/>
    <w:rsid w:val="3D544EC9"/>
    <w:rsid w:val="40B94814"/>
    <w:rsid w:val="46417839"/>
    <w:rsid w:val="4D0145AB"/>
    <w:rsid w:val="522E6858"/>
    <w:rsid w:val="5E6D7CC1"/>
    <w:rsid w:val="60AC0F7A"/>
    <w:rsid w:val="69767EF5"/>
    <w:rsid w:val="6A486BD3"/>
    <w:rsid w:val="71F20E51"/>
    <w:rsid w:val="745B16DA"/>
    <w:rsid w:val="7DCE5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caption"/>
    <w:basedOn w:val="1"/>
    <w:next w:val="1"/>
    <w:qFormat/>
    <w:uiPriority w:val="35"/>
    <w:rPr>
      <w:rFonts w:ascii="Calibri Light" w:hAnsi="Calibri Light" w:eastAsia="黑体" w:cs="宋体"/>
      <w:sz w:val="20"/>
      <w:szCs w:val="20"/>
    </w:rPr>
  </w:style>
  <w:style w:type="paragraph" w:styleId="3">
    <w:name w:val="Balloon Text"/>
    <w:basedOn w:val="1"/>
    <w:link w:val="14"/>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20"/>
    </w:rPr>
  </w:style>
  <w:style w:type="paragraph" w:styleId="6">
    <w:name w:val="footnote text"/>
    <w:basedOn w:val="1"/>
    <w:link w:val="10"/>
    <w:unhideWhenUsed/>
    <w:qFormat/>
    <w:uiPriority w:val="99"/>
    <w:pPr>
      <w:snapToGrid w:val="0"/>
      <w:jc w:val="left"/>
    </w:pPr>
    <w:rPr>
      <w:rFonts w:ascii="Times New Roman" w:hAnsi="Times New Roman" w:eastAsia="宋体" w:cs="Times New Roman"/>
      <w:sz w:val="18"/>
      <w:szCs w:val="18"/>
    </w:rPr>
  </w:style>
  <w:style w:type="character" w:styleId="9">
    <w:name w:val="footnote reference"/>
    <w:unhideWhenUsed/>
    <w:qFormat/>
    <w:uiPriority w:val="99"/>
    <w:rPr>
      <w:vertAlign w:val="superscript"/>
    </w:rPr>
  </w:style>
  <w:style w:type="character" w:customStyle="1" w:styleId="10">
    <w:name w:val="脚注文本 Char"/>
    <w:basedOn w:val="8"/>
    <w:link w:val="6"/>
    <w:qFormat/>
    <w:uiPriority w:val="99"/>
    <w:rPr>
      <w:rFonts w:ascii="Times New Roman" w:hAnsi="Times New Roman" w:eastAsia="宋体" w:cs="Times New Roman"/>
      <w:sz w:val="18"/>
      <w:szCs w:val="18"/>
    </w:rPr>
  </w:style>
  <w:style w:type="character" w:customStyle="1" w:styleId="11">
    <w:name w:val="页眉 Char"/>
    <w:basedOn w:val="8"/>
    <w:link w:val="5"/>
    <w:qFormat/>
    <w:uiPriority w:val="99"/>
    <w:rPr>
      <w:rFonts w:ascii="Times New Roman" w:hAnsi="Times New Roman" w:eastAsia="宋体" w:cs="Times New Roman"/>
      <w:sz w:val="18"/>
      <w:szCs w:val="20"/>
    </w:rPr>
  </w:style>
  <w:style w:type="character" w:customStyle="1" w:styleId="12">
    <w:name w:val="页脚 Char"/>
    <w:basedOn w:val="8"/>
    <w:link w:val="4"/>
    <w:uiPriority w:val="99"/>
    <w:rPr>
      <w:sz w:val="18"/>
      <w:szCs w:val="18"/>
    </w:rPr>
  </w:style>
  <w:style w:type="paragraph" w:styleId="13">
    <w:name w:val="List Paragraph"/>
    <w:basedOn w:val="1"/>
    <w:qFormat/>
    <w:uiPriority w:val="34"/>
    <w:pPr>
      <w:ind w:firstLine="420" w:firstLineChars="200"/>
    </w:pPr>
  </w:style>
  <w:style w:type="character" w:customStyle="1" w:styleId="14">
    <w:name w:val="批注框文本 Char"/>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EDD08D-2989-4277-B331-E56B40756131}">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12</Pages>
  <Words>6374</Words>
  <Characters>6677</Characters>
  <Lines>54</Lines>
  <Paragraphs>15</Paragraphs>
  <TotalTime>0</TotalTime>
  <ScaleCrop>false</ScaleCrop>
  <LinksUpToDate>false</LinksUpToDate>
  <CharactersWithSpaces>7291</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2022-11-09T02:23:00Z</dcterms:created>
  <dc:creator>admin</dc:creator>
  <cp:lastModifiedBy>李瑭(拟稿)</cp:lastModifiedBy>
  <dcterms:modified xsi:type="dcterms:W3CDTF">2023-01-17T07:33:09Z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29B7E45511984ACBAF2588B4DE047CC4</vt:lpwstr>
  </property>
</Properties>
</file>