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1ADFE3">
      <w:pPr>
        <w:spacing w:after="0" w:line="560" w:lineRule="exact"/>
        <w:jc w:val="center"/>
        <w:rPr>
          <w:rFonts w:ascii="方正小标宋_GBK" w:hAnsi="Times New Roman" w:eastAsia="方正小标宋_GBK"/>
          <w:spacing w:val="-4"/>
          <w:sz w:val="40"/>
          <w:szCs w:val="40"/>
        </w:rPr>
      </w:pPr>
      <w:r>
        <w:rPr>
          <w:rFonts w:hint="eastAsia" w:ascii="方正小标宋_GBK" w:hAnsi="Times New Roman" w:eastAsia="方正小标宋_GBK"/>
          <w:spacing w:val="-4"/>
          <w:sz w:val="40"/>
          <w:szCs w:val="40"/>
        </w:rPr>
        <w:t>重点企业生产经营情况调查方案以及问卷总说明</w:t>
      </w:r>
    </w:p>
    <w:p w14:paraId="50D5ADE5">
      <w:pPr>
        <w:spacing w:after="0" w:line="560" w:lineRule="exact"/>
        <w:ind w:firstLine="624" w:firstLineChars="200"/>
        <w:jc w:val="center"/>
        <w:rPr>
          <w:rFonts w:ascii="Times New Roman" w:hAnsi="Times New Roman" w:eastAsia="黑体"/>
          <w:spacing w:val="-4"/>
          <w:sz w:val="32"/>
          <w:szCs w:val="32"/>
        </w:rPr>
      </w:pPr>
    </w:p>
    <w:p w14:paraId="34F1C8E7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  <w:lang w:val="en-US" w:eastAsia="zh-CN"/>
        </w:rPr>
        <w:t>2026年是“十五五”开局之年，面对复杂严峻的外部环境，科学研判经济运行开局情况非常重要。为掌握企业生产经营情况，准确研判行业发展趋势，为党委政府提供决策参考，</w:t>
      </w:r>
      <w:r>
        <w:rPr>
          <w:rFonts w:hint="eastAsia" w:ascii="仿宋_GB2312" w:hAnsi="Calibri" w:eastAsia="仿宋_GB2312" w:cs="Times New Roman"/>
          <w:sz w:val="32"/>
          <w:szCs w:val="32"/>
        </w:rPr>
        <w:t>决</w:t>
      </w:r>
      <w:r>
        <w:rPr>
          <w:rFonts w:hint="eastAsia" w:ascii="仿宋" w:hAnsi="仿宋" w:eastAsia="仿宋"/>
          <w:sz w:val="32"/>
          <w:szCs w:val="32"/>
        </w:rPr>
        <w:t>定在苏州全市范围内组织开展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重点企业生产经营情况调查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4FF78BD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Times New Roman" w:hAnsi="Times New Roman" w:eastAsia="黑体"/>
          <w:spacing w:val="-4"/>
          <w:sz w:val="32"/>
          <w:szCs w:val="32"/>
        </w:rPr>
      </w:pPr>
      <w:r>
        <w:rPr>
          <w:rFonts w:ascii="Times New Roman" w:hAnsi="Times New Roman" w:eastAsia="黑体"/>
          <w:spacing w:val="-4"/>
          <w:sz w:val="32"/>
          <w:szCs w:val="32"/>
        </w:rPr>
        <w:t>一、调查目的</w:t>
      </w:r>
    </w:p>
    <w:p w14:paraId="052B9C1E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  <w:lang w:val="en-US" w:eastAsia="zh-CN"/>
        </w:rPr>
        <w:t>掌握企业一季度生产经营情况，准确研判行业发展趋势，为党委政府提供决策参考，</w:t>
      </w:r>
      <w:r>
        <w:rPr>
          <w:rFonts w:ascii="Times New Roman" w:hAnsi="Times New Roman" w:eastAsia="仿宋_GB2312"/>
          <w:sz w:val="32"/>
          <w:szCs w:val="32"/>
        </w:rPr>
        <w:t>科学制定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政策举措</w:t>
      </w:r>
      <w:r>
        <w:rPr>
          <w:rFonts w:ascii="Times New Roman" w:hAnsi="Times New Roman" w:eastAsia="仿宋_GB2312"/>
          <w:sz w:val="32"/>
          <w:szCs w:val="32"/>
        </w:rPr>
        <w:t>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更好惠及企业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 w14:paraId="264FD20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Times New Roman" w:hAnsi="Times New Roman" w:eastAsia="黑体"/>
          <w:spacing w:val="-4"/>
          <w:sz w:val="32"/>
          <w:szCs w:val="32"/>
        </w:rPr>
      </w:pPr>
      <w:r>
        <w:rPr>
          <w:rFonts w:ascii="Times New Roman" w:hAnsi="Times New Roman" w:eastAsia="黑体"/>
          <w:spacing w:val="-4"/>
          <w:sz w:val="32"/>
          <w:szCs w:val="32"/>
        </w:rPr>
        <w:t>二、调查范围及对象</w:t>
      </w:r>
    </w:p>
    <w:p w14:paraId="68E6ED25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苏州全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市范围内抽样选中的企业法人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 w14:paraId="51FAC2C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Times New Roman" w:hAnsi="Times New Roman" w:eastAsia="黑体"/>
          <w:spacing w:val="-4"/>
          <w:sz w:val="32"/>
          <w:szCs w:val="32"/>
        </w:rPr>
      </w:pPr>
      <w:r>
        <w:rPr>
          <w:rFonts w:ascii="Times New Roman" w:hAnsi="Times New Roman" w:eastAsia="黑体"/>
          <w:spacing w:val="-4"/>
          <w:sz w:val="32"/>
          <w:szCs w:val="32"/>
        </w:rPr>
        <w:t>三、调查内容</w:t>
      </w:r>
    </w:p>
    <w:p w14:paraId="52952EB0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企业订单、用工、投资、出口等生产经营情况，企业主要指标情况，企业及行业预期研判，企业及行业面临困难和问题，对政策的诉求</w:t>
      </w:r>
      <w:r>
        <w:rPr>
          <w:rFonts w:ascii="Times New Roman" w:hAnsi="Times New Roman" w:eastAsia="仿宋_GB2312"/>
          <w:sz w:val="32"/>
          <w:szCs w:val="32"/>
        </w:rPr>
        <w:t>等。具体调查内容详见调查问卷。</w:t>
      </w:r>
    </w:p>
    <w:p w14:paraId="334DD89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Times New Roman" w:hAnsi="Times New Roman" w:eastAsia="黑体"/>
          <w:spacing w:val="-4"/>
          <w:sz w:val="32"/>
          <w:szCs w:val="32"/>
        </w:rPr>
      </w:pPr>
      <w:r>
        <w:rPr>
          <w:rFonts w:ascii="Times New Roman" w:hAnsi="Times New Roman" w:eastAsia="黑体"/>
          <w:spacing w:val="-4"/>
          <w:sz w:val="32"/>
          <w:szCs w:val="32"/>
        </w:rPr>
        <w:t>四、调查方式</w:t>
      </w:r>
    </w:p>
    <w:p w14:paraId="281A511F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本调查采用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问卷调查方式，调查对象通过扫描二维码填写问卷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 w14:paraId="0934F6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五、调查样本量及调查频率</w:t>
      </w:r>
    </w:p>
    <w:p w14:paraId="6CEEE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本调查样本框由</w:t>
      </w:r>
      <w:bookmarkStart w:id="0" w:name="_Hlk106313517"/>
      <w:r>
        <w:rPr>
          <w:rFonts w:hint="eastAsia" w:ascii="仿宋" w:hAnsi="仿宋" w:eastAsia="仿宋"/>
          <w:sz w:val="32"/>
          <w:szCs w:val="32"/>
          <w:highlight w:val="none"/>
        </w:rPr>
        <w:t>苏州市统计局确定</w:t>
      </w:r>
      <w:r>
        <w:rPr>
          <w:rFonts w:hint="eastAsia" w:ascii="仿宋" w:hAnsi="仿宋" w:eastAsia="仿宋"/>
          <w:kern w:val="0"/>
          <w:sz w:val="32"/>
          <w:szCs w:val="32"/>
          <w:highlight w:val="none"/>
        </w:rPr>
        <w:t>，</w:t>
      </w:r>
      <w:bookmarkEnd w:id="0"/>
      <w:r>
        <w:rPr>
          <w:rFonts w:hint="eastAsia" w:ascii="仿宋" w:hAnsi="仿宋" w:eastAsia="仿宋"/>
          <w:sz w:val="32"/>
          <w:szCs w:val="32"/>
          <w:highlight w:val="none"/>
        </w:rPr>
        <w:t>调查对象采用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抽样</w:t>
      </w:r>
      <w:r>
        <w:rPr>
          <w:rFonts w:hint="eastAsia" w:ascii="仿宋" w:hAnsi="仿宋" w:eastAsia="仿宋"/>
          <w:sz w:val="32"/>
          <w:szCs w:val="32"/>
          <w:highlight w:val="none"/>
        </w:rPr>
        <w:t>方法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选取</w:t>
      </w:r>
      <w:r>
        <w:rPr>
          <w:rFonts w:hint="eastAsia" w:ascii="仿宋" w:hAnsi="仿宋" w:eastAsia="仿宋"/>
          <w:sz w:val="32"/>
          <w:szCs w:val="32"/>
          <w:highlight w:val="none"/>
        </w:rPr>
        <w:t>，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在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苏州全市“四上”单位中抽选811</w:t>
      </w:r>
      <w:r>
        <w:rPr>
          <w:rFonts w:hint="eastAsia" w:ascii="仿宋" w:hAnsi="仿宋" w:eastAsia="仿宋"/>
          <w:sz w:val="32"/>
          <w:szCs w:val="32"/>
          <w:highlight w:val="none"/>
        </w:rPr>
        <w:t>个</w:t>
      </w:r>
      <w:r>
        <w:rPr>
          <w:rFonts w:hint="eastAsia" w:ascii="仿宋" w:hAnsi="仿宋" w:eastAsia="仿宋" w:cs="宋体"/>
          <w:sz w:val="32"/>
          <w:szCs w:val="32"/>
          <w:highlight w:val="none"/>
        </w:rPr>
        <w:t>样本</w:t>
      </w:r>
      <w:r>
        <w:rPr>
          <w:rFonts w:hint="eastAsia" w:ascii="仿宋" w:hAnsi="仿宋" w:eastAsia="仿宋"/>
          <w:sz w:val="32"/>
          <w:szCs w:val="32"/>
          <w:highlight w:val="none"/>
        </w:rPr>
        <w:t>。</w:t>
      </w:r>
    </w:p>
    <w:p w14:paraId="1ED884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本调查采用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问卷</w:t>
      </w:r>
      <w:r>
        <w:rPr>
          <w:rFonts w:hint="eastAsia" w:ascii="仿宋" w:hAnsi="仿宋" w:eastAsia="仿宋"/>
          <w:sz w:val="32"/>
          <w:szCs w:val="32"/>
          <w:highlight w:val="none"/>
        </w:rPr>
        <w:t>调查方式，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为一次性</w:t>
      </w:r>
      <w:r>
        <w:rPr>
          <w:rFonts w:hint="eastAsia" w:ascii="仿宋" w:hAnsi="仿宋" w:eastAsia="仿宋"/>
          <w:sz w:val="32"/>
          <w:szCs w:val="32"/>
          <w:highlight w:val="none"/>
        </w:rPr>
        <w:t>调查。</w:t>
      </w:r>
    </w:p>
    <w:p w14:paraId="3BE1F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  <w:r>
        <w:rPr>
          <w:rFonts w:ascii="Times New Roman" w:hAnsi="Times New Roman" w:eastAsia="黑体"/>
          <w:spacing w:val="-4"/>
          <w:sz w:val="32"/>
          <w:szCs w:val="32"/>
        </w:rPr>
        <w:t>六、</w:t>
      </w:r>
      <w:r>
        <w:rPr>
          <w:rFonts w:hint="eastAsia" w:ascii="黑体" w:hAnsi="黑体" w:eastAsia="黑体"/>
          <w:sz w:val="32"/>
          <w:szCs w:val="32"/>
        </w:rPr>
        <w:t>时间安排</w:t>
      </w:r>
    </w:p>
    <w:p w14:paraId="015E7C2C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1月中旬完成方案设计、调查对象抽样。</w:t>
      </w:r>
    </w:p>
    <w:p w14:paraId="68926050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1月下旬完成项目申报；</w:t>
      </w:r>
    </w:p>
    <w:p w14:paraId="2F250C91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2月上旬完成问卷调查；</w:t>
      </w:r>
    </w:p>
    <w:p w14:paraId="6E5F69D1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2月中旬完成调查报告。</w:t>
      </w:r>
    </w:p>
    <w:p w14:paraId="20B827B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left"/>
        <w:textAlignment w:val="auto"/>
        <w:rPr>
          <w:rFonts w:ascii="Times New Roman" w:hAnsi="Times New Roman" w:eastAsia="黑体"/>
          <w:spacing w:val="-4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ascii="Times New Roman" w:hAnsi="Times New Roman" w:eastAsia="黑体"/>
          <w:spacing w:val="-4"/>
          <w:sz w:val="32"/>
          <w:szCs w:val="32"/>
        </w:rPr>
        <w:t>组织实施</w:t>
      </w:r>
    </w:p>
    <w:p w14:paraId="7247D80D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360" w:lineRule="auto"/>
        <w:ind w:firstLine="624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eastAsia="仿宋_GB2312"/>
          <w:spacing w:val="-4"/>
          <w:sz w:val="32"/>
          <w:szCs w:val="32"/>
        </w:rPr>
        <w:t>各市、区</w:t>
      </w:r>
      <w:r>
        <w:rPr>
          <w:rFonts w:hint="eastAsia" w:ascii="Times New Roman" w:hAnsi="Times New Roman" w:eastAsia="仿宋_GB2312"/>
          <w:spacing w:val="-4"/>
          <w:sz w:val="32"/>
          <w:szCs w:val="32"/>
        </w:rPr>
        <w:t>统计局</w:t>
      </w:r>
      <w:r>
        <w:rPr>
          <w:rFonts w:ascii="Times New Roman" w:hAnsi="Times New Roman" w:eastAsia="仿宋_GB2312"/>
          <w:spacing w:val="-4"/>
          <w:sz w:val="32"/>
          <w:szCs w:val="32"/>
        </w:rPr>
        <w:t>组织开展调查工作</w:t>
      </w:r>
      <w:r>
        <w:rPr>
          <w:rFonts w:hint="eastAsia" w:ascii="Times New Roman" w:hAnsi="Times New Roman" w:eastAsia="仿宋_GB2312"/>
          <w:spacing w:val="-4"/>
          <w:sz w:val="32"/>
          <w:szCs w:val="32"/>
        </w:rPr>
        <w:t>，</w:t>
      </w:r>
      <w:r>
        <w:rPr>
          <w:rFonts w:ascii="Times New Roman" w:hAnsi="Times New Roman" w:eastAsia="仿宋_GB2312"/>
          <w:spacing w:val="-4"/>
          <w:sz w:val="32"/>
          <w:szCs w:val="32"/>
        </w:rPr>
        <w:t>调查</w:t>
      </w:r>
      <w:r>
        <w:rPr>
          <w:rFonts w:hint="eastAsia" w:ascii="Times New Roman" w:hAnsi="Times New Roman" w:eastAsia="仿宋_GB2312"/>
          <w:spacing w:val="-4"/>
          <w:sz w:val="32"/>
          <w:szCs w:val="32"/>
          <w:lang w:val="en-US" w:eastAsia="zh-CN"/>
        </w:rPr>
        <w:t>采用网络</w:t>
      </w:r>
      <w:r>
        <w:rPr>
          <w:rFonts w:ascii="Times New Roman" w:hAnsi="Times New Roman" w:eastAsia="仿宋_GB2312"/>
          <w:spacing w:val="-4"/>
          <w:sz w:val="32"/>
          <w:szCs w:val="32"/>
        </w:rPr>
        <w:t>问卷，调查数据即时上传。</w:t>
      </w:r>
    </w:p>
    <w:p w14:paraId="2AAFC747">
      <w:pPr>
        <w:keepNext w:val="0"/>
        <w:keepLines w:val="0"/>
        <w:pageBreakBefore w:val="0"/>
        <w:widowControl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left"/>
        <w:textAlignment w:val="auto"/>
        <w:rPr>
          <w:rFonts w:ascii="仿宋_GB2312" w:eastAsia="仿宋_GB2312"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57603E4">
      <w:pPr>
        <w:spacing w:after="0" w:line="560" w:lineRule="exact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</w:p>
    <w:p w14:paraId="7A063122">
      <w:pPr>
        <w:pStyle w:val="2"/>
        <w:keepNext w:val="0"/>
        <w:keepLines w:val="0"/>
        <w:widowControl/>
        <w:suppressLineNumbers w:val="0"/>
        <w:jc w:val="center"/>
        <w:rPr>
          <w:highlight w:val="none"/>
        </w:rPr>
      </w:pPr>
      <w:r>
        <w:rPr>
          <w:rFonts w:hint="eastAsia"/>
          <w:highlight w:val="none"/>
        </w:rPr>
        <w:t>重点企业生产经营情况调查问卷</w:t>
      </w:r>
    </w:p>
    <w:p w14:paraId="4DB7FC70">
      <w:pPr>
        <w:rPr>
          <w:highlight w:val="none"/>
        </w:rPr>
      </w:pPr>
      <w:bookmarkStart w:id="4" w:name="_GoBack"/>
      <w:bookmarkEnd w:id="4"/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3507740</wp:posOffset>
                </wp:positionH>
                <wp:positionV relativeFrom="paragraph">
                  <wp:posOffset>156210</wp:posOffset>
                </wp:positionV>
                <wp:extent cx="1321435" cy="1220470"/>
                <wp:effectExtent l="0" t="0" r="12065" b="1778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766945" y="2553335"/>
                          <a:ext cx="1321435" cy="1220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</a:ln>
                        <a:effectLst/>
                      </wps:spPr>
                      <wps:txbx>
                        <w:txbxContent>
                          <w:p w14:paraId="70CCE69E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jc w:val="distribute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SZSC501</w:t>
                            </w:r>
                          </w:p>
                          <w:p w14:paraId="7AB167C9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jc w:val="distribute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苏州市统计局</w:t>
                            </w:r>
                          </w:p>
                          <w:p w14:paraId="5C64E411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jc w:val="distribute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苏统〔2026〕6号</w:t>
                            </w:r>
                          </w:p>
                          <w:p w14:paraId="3F681D77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jc w:val="distribute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苏统制〔2026〕5号</w:t>
                            </w:r>
                          </w:p>
                          <w:p w14:paraId="682A11DB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jc w:val="distribute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2026年12月</w:t>
                            </w:r>
                          </w:p>
                          <w:p w14:paraId="4C84DEBD">
                            <w:pPr>
                              <w:jc w:val="distribute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</w:p>
                        </w:txbxContent>
                      </wps:txbx>
                      <wps:bodyPr vert="horz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6.2pt;margin-top:12.3pt;height:96.1pt;width:104.05pt;z-index:251661312;mso-width-relative:page;mso-height-relative:page;" fillcolor="#FFFFFF" filled="t" stroked="f" coordsize="21600,21600" o:gfxdata="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pwjf+dgAAAAKAQAADwAAAAAAAAABACAAAAAiAAAAZHJzL2Rvd25yZXYueG1sUEsBAhQAFAAA&#10;AAgAh07iQP2KChXvAQAAwAMAAA4AAAAAAAAAAQAgAAAAJwEAAGRycy9lMm9Eb2MueG1sUEsFBgAA&#10;AAAGAAYAWQEAAIg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70CCE69E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jc w:val="distribute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SZSC501</w:t>
                      </w:r>
                    </w:p>
                    <w:p w14:paraId="7AB167C9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jc w:val="distribute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苏州市统计局</w:t>
                      </w:r>
                    </w:p>
                    <w:p w14:paraId="5C64E411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jc w:val="distribute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苏统〔2026〕6号</w:t>
                      </w:r>
                    </w:p>
                    <w:p w14:paraId="3F681D77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jc w:val="distribute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苏统制〔2026〕5号</w:t>
                      </w:r>
                    </w:p>
                    <w:p w14:paraId="682A11DB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jc w:val="distribute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2026年12月</w:t>
                      </w:r>
                    </w:p>
                    <w:p w14:paraId="4C84DEBD">
                      <w:pPr>
                        <w:jc w:val="distribute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宋体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128905</wp:posOffset>
                </wp:positionV>
                <wp:extent cx="1223645" cy="157099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160520" y="2540635"/>
                          <a:ext cx="1223645" cy="1570990"/>
                        </a:xfrm>
                        <a:prstGeom prst="rect">
                          <a:avLst/>
                        </a:prstGeom>
                        <a:noFill/>
                        <a:ln w="12700">
                          <a:noFill/>
                        </a:ln>
                        <a:effectLst/>
                      </wps:spPr>
                      <wps:txbx>
                        <w:txbxContent>
                          <w:p w14:paraId="55F739B9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ind w:right="363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 xml:space="preserve">表    号：      </w:t>
                            </w:r>
                          </w:p>
                          <w:p w14:paraId="545D015E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ind w:right="363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制定机关：</w:t>
                            </w:r>
                          </w:p>
                          <w:p w14:paraId="032152FB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ind w:right="363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文    号：</w:t>
                            </w:r>
                          </w:p>
                          <w:p w14:paraId="726B6C71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ind w:right="363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>批准文号：</w:t>
                            </w:r>
                          </w:p>
                          <w:p w14:paraId="45115ED5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after="100" w:line="200" w:lineRule="exact"/>
                              <w:ind w:right="363"/>
                              <w:textAlignment w:val="auto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  <w:t xml:space="preserve">有效期至： </w:t>
                            </w:r>
                          </w:p>
                          <w:p w14:paraId="0E9F5A71">
                            <w:pPr>
                              <w:ind w:right="360"/>
                              <w:rPr>
                                <w:rFonts w:hint="eastAsia" w:ascii="Times New Roman" w:hAnsi="Times New Roman" w:eastAsia="宋体" w:cs="宋体"/>
                                <w:i w:val="0"/>
                                <w:color w:val="000000"/>
                                <w:kern w:val="0"/>
                                <w:sz w:val="18"/>
                                <w:szCs w:val="18"/>
                                <w:u w:val="none"/>
                                <w:lang w:val="en-US" w:eastAsia="zh-CN" w:bidi="ar"/>
                              </w:rPr>
                            </w:pPr>
                          </w:p>
                          <w:p w14:paraId="0A08B9F7"/>
                        </w:txbxContent>
                      </wps:txbx>
                      <wps:bodyPr vert="horz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4.2pt;margin-top:10.15pt;height:123.7pt;width:96.35pt;z-index:251660288;mso-width-relative:page;mso-height-relative:page;" filled="f" stroked="f" coordsize="21600,21600" o:gfxdata="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rmMal2AAAAAoBAAAPAAAA&#10;AAAAAAEAIAAAACIAAABkcnMvZG93bnJldi54bWxQSwECFAAUAAAACACHTuJAbBCX3dwBAACYAwAA&#10;DgAAAAAAAAABACAAAAAnAQAAZHJzL2Uyb0RvYy54bWxQSwUGAAAAAAYABgBZAQAAdQUAAAAA&#10;">
                <v:fill on="f" focussize="0,0"/>
                <v:stroke on="f" weight="1pt"/>
                <v:imagedata o:title=""/>
                <o:lock v:ext="edit" aspectratio="f"/>
                <v:textbox>
                  <w:txbxContent>
                    <w:p w14:paraId="55F739B9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ind w:right="363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 xml:space="preserve">表    号：      </w:t>
                      </w:r>
                    </w:p>
                    <w:p w14:paraId="545D015E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ind w:right="363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制定机关：</w:t>
                      </w:r>
                    </w:p>
                    <w:p w14:paraId="032152FB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ind w:right="363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文    号：</w:t>
                      </w:r>
                    </w:p>
                    <w:p w14:paraId="726B6C71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ind w:right="363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>批准文号：</w:t>
                      </w:r>
                    </w:p>
                    <w:p w14:paraId="45115ED5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after="100" w:line="200" w:lineRule="exact"/>
                        <w:ind w:right="363"/>
                        <w:textAlignment w:val="auto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  <w:r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  <w:t xml:space="preserve">有效期至： </w:t>
                      </w:r>
                    </w:p>
                    <w:p w14:paraId="0E9F5A71">
                      <w:pPr>
                        <w:ind w:right="360"/>
                        <w:rPr>
                          <w:rFonts w:hint="eastAsia" w:ascii="Times New Roman" w:hAnsi="Times New Roman" w:eastAsia="宋体" w:cs="宋体"/>
                          <w:i w:val="0"/>
                          <w:color w:val="000000"/>
                          <w:kern w:val="0"/>
                          <w:sz w:val="18"/>
                          <w:szCs w:val="18"/>
                          <w:u w:val="none"/>
                          <w:lang w:val="en-US" w:eastAsia="zh-CN" w:bidi="ar"/>
                        </w:rPr>
                      </w:pPr>
                    </w:p>
                    <w:p w14:paraId="0A08B9F7"/>
                  </w:txbxContent>
                </v:textbox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-27305</wp:posOffset>
                </wp:positionH>
                <wp:positionV relativeFrom="paragraph">
                  <wp:posOffset>80010</wp:posOffset>
                </wp:positionV>
                <wp:extent cx="2531745" cy="1188085"/>
                <wp:effectExtent l="5080" t="4445" r="15875" b="762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47140" y="2506345"/>
                          <a:ext cx="2531745" cy="1188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BFE5237">
                            <w:pPr>
                              <w:rPr>
                                <w:rFonts w:hint="eastAsia" w:ascii="黑体" w:eastAsia="黑体" w:cs="宋体"/>
                                <w:kern w:val="0"/>
                                <w:sz w:val="24"/>
                              </w:rPr>
                            </w:pPr>
                            <w:r>
                              <w:rPr>
                                <w:rFonts w:hint="eastAsia" w:ascii="黑体" w:eastAsia="黑体" w:cs="宋体"/>
                                <w:kern w:val="0"/>
                                <w:sz w:val="24"/>
                              </w:rPr>
                              <w:t>《统计法》第十一条：统计机构和统计人员对在统计工作中知悉的国家秘密、工作秘密、商业秘密、个人隐私和个人信息，应当予以保密，不得泄露或者向他人非法提供。</w:t>
                            </w:r>
                          </w:p>
                          <w:p w14:paraId="39E08D84"/>
                        </w:txbxContent>
                      </wps:txbx>
                      <wps:bodyPr wrap="square" lIns="91440" tIns="108000" rIns="91440" bIns="108000" anchor="ctr" anchorCtr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.15pt;margin-top:6.3pt;height:93.55pt;width:199.35pt;z-index:251659264;v-text-anchor:middle;mso-width-relative:page;mso-height-relative:page;" fillcolor="#FFFFFF" filled="t" stroked="t" coordsize="21600,21600" o:gfxdata="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wwnlr2QAAAAkBAAAPAAAA&#10;AAAAAAEAIAAAACIAAABkcnMvZG93bnJldi54bWxQSwECFAAUAAAACACHTuJAjEqIMk0CAACwBAAA&#10;DgAAAAAAAAABACAAAAAoAQAAZHJzL2Uyb0RvYy54bWxQSwUGAAAAAAYABgBZAQAA5wUAAAAA&#10;">
                <v:fill on="t" focussize="0,0"/>
                <v:stroke color="#000000" joinstyle="miter"/>
                <v:imagedata o:title=""/>
                <o:lock v:ext="edit" aspectratio="f"/>
                <v:textbox inset="2.54mm,3mm,2.54mm,3mm">
                  <w:txbxContent>
                    <w:p w14:paraId="0BFE5237">
                      <w:pPr>
                        <w:rPr>
                          <w:rFonts w:hint="eastAsia" w:ascii="黑体" w:eastAsia="黑体" w:cs="宋体"/>
                          <w:kern w:val="0"/>
                          <w:sz w:val="24"/>
                        </w:rPr>
                      </w:pPr>
                      <w:r>
                        <w:rPr>
                          <w:rFonts w:hint="eastAsia" w:ascii="黑体" w:eastAsia="黑体" w:cs="宋体"/>
                          <w:kern w:val="0"/>
                          <w:sz w:val="24"/>
                        </w:rPr>
                        <w:t>《统计法》第十一条：统计机构和统计人员对在统计工作中知悉的国家秘密、工作秘密、商业秘密、个人隐私和个人信息，应当予以保密，不得泄露或者向他人非法提供。</w:t>
                      </w:r>
                    </w:p>
                    <w:p w14:paraId="39E08D84"/>
                  </w:txbxContent>
                </v:textbox>
              </v:shape>
            </w:pict>
          </mc:Fallback>
        </mc:AlternateContent>
      </w:r>
    </w:p>
    <w:p w14:paraId="3F9334D4">
      <w:pPr>
        <w:rPr>
          <w:highlight w:val="none"/>
        </w:rPr>
      </w:pPr>
    </w:p>
    <w:p w14:paraId="7A10D5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68744D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尊敬的企业负责人：</w:t>
      </w:r>
    </w:p>
    <w:p w14:paraId="0ADE30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您好！感谢您一直以来对统计工作的支持与关心！新年伊始，为掌握企业生产经营情况，准确研判行业发展趋势，为党委政府提供决策参考，使政策举措更好惠及企业，特开展本次问卷调查。本问卷调查结果仅用于统计分析，所有数据及内容均严格保密，恳请您结合企业实际情况如实填报，感谢您的支持与配合！向您致以美好的新年祝福，并祝企业发展蒸蒸日上！</w:t>
      </w:r>
    </w:p>
    <w:p w14:paraId="273E8B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794068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一、企业基本信息</w:t>
      </w:r>
    </w:p>
    <w:p w14:paraId="33BBD3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1. 企业名称：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                   </w:t>
      </w:r>
    </w:p>
    <w:p w14:paraId="62C7C4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统一社会信用代码：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              </w:t>
      </w:r>
    </w:p>
    <w:p w14:paraId="52475D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7AEBE3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2. 企业所属行业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</w:t>
      </w:r>
    </w:p>
    <w:p w14:paraId="0E836CA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□工业</w:t>
      </w:r>
    </w:p>
    <w:p w14:paraId="183AA7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□批发零售业</w:t>
      </w:r>
    </w:p>
    <w:p w14:paraId="2F6734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□住宿餐饮业</w:t>
      </w:r>
    </w:p>
    <w:p w14:paraId="09E321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□多式联运和运输代理业 </w:t>
      </w:r>
    </w:p>
    <w:p w14:paraId="22F4E7A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□装卸搬运和仓储业</w:t>
      </w:r>
    </w:p>
    <w:p w14:paraId="5A511F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□互联网和相关服务</w:t>
      </w:r>
    </w:p>
    <w:p w14:paraId="7D6293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□软件和信息技术服务业 </w:t>
      </w:r>
    </w:p>
    <w:p w14:paraId="3FBB66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□房地产业（不含开发）</w:t>
      </w:r>
    </w:p>
    <w:p w14:paraId="290BE31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□租赁和商务服务业</w:t>
      </w:r>
    </w:p>
    <w:p w14:paraId="2695C8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□科学研究和技术服务业 </w:t>
      </w:r>
    </w:p>
    <w:p w14:paraId="0D0E15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□水利、环境和公共设施管理业 </w:t>
      </w:r>
    </w:p>
    <w:p w14:paraId="729F6A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□居民服务、修理和其他服务业 </w:t>
      </w:r>
    </w:p>
    <w:p w14:paraId="042B66B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□文化、体育和娱乐业 </w:t>
      </w:r>
    </w:p>
    <w:p w14:paraId="1340CC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275E1D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3. 问卷填写人：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          </w:t>
      </w:r>
    </w:p>
    <w:p w14:paraId="15A66D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联系电话：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               </w:t>
      </w:r>
    </w:p>
    <w:p w14:paraId="077FB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</w:p>
    <w:p w14:paraId="1433A0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二、企业生产经营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情况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ab/>
      </w:r>
    </w:p>
    <w:p w14:paraId="64C1A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4. 目前在手订单可供企业持续生产经营时间？（ ）</w:t>
      </w:r>
    </w:p>
    <w:p w14:paraId="11E0E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A.1个月以内；</w:t>
      </w:r>
    </w:p>
    <w:p w14:paraId="475A1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B.1～3个月；</w:t>
      </w:r>
    </w:p>
    <w:p w14:paraId="5E40E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C.3～6个月</w:t>
      </w:r>
    </w:p>
    <w:p w14:paraId="524F4B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D.6个月以上；</w:t>
      </w:r>
    </w:p>
    <w:p w14:paraId="55D15D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E.订单不足，无法正常生产经营。</w:t>
      </w:r>
    </w:p>
    <w:p w14:paraId="07CC55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1C12A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5. 预计企业2026年一季度订单量比去年同期？（ ）（工业、贸易企业填）</w:t>
      </w:r>
    </w:p>
    <w:p w14:paraId="552C2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预计企业2026年1～2月订单量比去年同期？（ ）（服务业企业填）</w:t>
      </w:r>
    </w:p>
    <w:p w14:paraId="00210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A.增长50%以上；</w:t>
      </w:r>
    </w:p>
    <w:p w14:paraId="6DCDB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B.增长30～50%；</w:t>
      </w:r>
    </w:p>
    <w:p w14:paraId="437A8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C.增长10～30%；</w:t>
      </w:r>
    </w:p>
    <w:p w14:paraId="2479C2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D.增长10%以内；</w:t>
      </w:r>
    </w:p>
    <w:p w14:paraId="24FBF4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E.持平；</w:t>
      </w:r>
    </w:p>
    <w:p w14:paraId="208068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F.下降10%以内；</w:t>
      </w:r>
    </w:p>
    <w:p w14:paraId="2C183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G.下降10～30%；</w:t>
      </w:r>
    </w:p>
    <w:p w14:paraId="76C38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H.下降30～50%；</w:t>
      </w:r>
    </w:p>
    <w:p w14:paraId="31D1C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I.下降50%以上。</w:t>
      </w:r>
    </w:p>
    <w:p w14:paraId="37C8B4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77583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预计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2026年一季度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利润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比去年同期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48E0C7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预计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2026年1～2月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利润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比去年同期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0AC21E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A.增长50%以上；</w:t>
      </w:r>
    </w:p>
    <w:p w14:paraId="7A1257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B.增长30～50%；</w:t>
      </w:r>
    </w:p>
    <w:p w14:paraId="1982C3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C.增长10～30%；</w:t>
      </w:r>
    </w:p>
    <w:p w14:paraId="08E0F0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D.增长10%以内；</w:t>
      </w:r>
    </w:p>
    <w:p w14:paraId="24E313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E.持平；</w:t>
      </w:r>
    </w:p>
    <w:p w14:paraId="72D043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F.下降10%以内；</w:t>
      </w:r>
    </w:p>
    <w:p w14:paraId="55F1C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G.下降10～30%；</w:t>
      </w:r>
    </w:p>
    <w:p w14:paraId="7DECB3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H.下降30～50%；</w:t>
      </w:r>
    </w:p>
    <w:p w14:paraId="64D192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I.下降50%以上。</w:t>
      </w:r>
    </w:p>
    <w:p w14:paraId="2F71B6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6BD8D6CA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7.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企业今年春节假期是否停工？</w:t>
      </w:r>
    </w:p>
    <w:p w14:paraId="3C25474C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A. 是；停工时间___月___日至___月___日，共计___天。</w:t>
      </w:r>
    </w:p>
    <w:p w14:paraId="09FCA247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B. 否。</w:t>
      </w:r>
    </w:p>
    <w:p w14:paraId="6AD27164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</w:p>
    <w:p w14:paraId="02EAE455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8.企业去年春节假期是否停工？</w:t>
      </w:r>
    </w:p>
    <w:p w14:paraId="740A00F4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A. 是；停工共计___天。</w:t>
      </w:r>
    </w:p>
    <w:p w14:paraId="6F57F116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B. 否。</w:t>
      </w:r>
    </w:p>
    <w:p w14:paraId="105D2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32FD2E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预计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2026年一季度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用工需求比去年同期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5BC479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预计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2026年1～2月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用工需求比去年同期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6E690C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A.上升；</w:t>
      </w:r>
    </w:p>
    <w:p w14:paraId="15BDD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B.持平；</w:t>
      </w:r>
    </w:p>
    <w:p w14:paraId="1140D3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C.下降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。</w:t>
      </w:r>
    </w:p>
    <w:p w14:paraId="57BDF7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738F66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当前企业招工情况比去年同期？（）</w:t>
      </w:r>
    </w:p>
    <w:p w14:paraId="046BA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A.更加困难；</w:t>
      </w:r>
    </w:p>
    <w:p w14:paraId="43D40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B.基本持平；</w:t>
      </w:r>
    </w:p>
    <w:p w14:paraId="18C861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C.更加容易。</w:t>
      </w:r>
    </w:p>
    <w:p w14:paraId="5D76F8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5280E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11. 影响企业用工的主要外部因素？（）（最多选3项）</w:t>
      </w:r>
    </w:p>
    <w:p w14:paraId="13796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A.行业内部用工竞争加剧；</w:t>
      </w:r>
    </w:p>
    <w:p w14:paraId="311C4D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B.跨区域劳动力流入放缓；</w:t>
      </w:r>
    </w:p>
    <w:p w14:paraId="63F61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C.技能型人才存在缺口；</w:t>
      </w:r>
    </w:p>
    <w:p w14:paraId="7ECA3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D.新生代求职者观念转变；</w:t>
      </w:r>
    </w:p>
    <w:p w14:paraId="73D3E1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E.地方配套政策吸引力不足；</w:t>
      </w:r>
    </w:p>
    <w:p w14:paraId="5EADDC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F.宏观经济形势影响企业用工需求稳定性；</w:t>
      </w:r>
    </w:p>
    <w:p w14:paraId="25D1E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G.其他（请注明）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。</w:t>
      </w:r>
    </w:p>
    <w:p w14:paraId="2149CF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48B513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预计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2026年一季度从业人员平均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薪酬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比去年同期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7FF78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A.增长20%以上；</w:t>
      </w:r>
    </w:p>
    <w:p w14:paraId="6A48D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B.增长10～20%；</w:t>
      </w:r>
    </w:p>
    <w:p w14:paraId="60507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C.增长5～10%；</w:t>
      </w:r>
    </w:p>
    <w:p w14:paraId="585CED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D.增长5%以内；</w:t>
      </w:r>
    </w:p>
    <w:p w14:paraId="34F18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E.持平；</w:t>
      </w:r>
    </w:p>
    <w:p w14:paraId="216521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F.下降5%以内；</w:t>
      </w:r>
    </w:p>
    <w:p w14:paraId="5BE6C7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G.下降5～10%；</w:t>
      </w:r>
    </w:p>
    <w:p w14:paraId="68E1A8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H.下降10～20%；</w:t>
      </w:r>
    </w:p>
    <w:p w14:paraId="00FEC0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I.下降20%以上。</w:t>
      </w:r>
    </w:p>
    <w:p w14:paraId="2295D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yellow"/>
          <w:lang w:val="en-US" w:eastAsia="zh-CN"/>
        </w:rPr>
      </w:pPr>
    </w:p>
    <w:p w14:paraId="0244B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13. 当前企业库存商品是否存在积压情况？（ ）（批零业企业填）</w:t>
      </w:r>
    </w:p>
    <w:p w14:paraId="37149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A.是；</w:t>
      </w:r>
    </w:p>
    <w:p w14:paraId="46E043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B.否。</w:t>
      </w:r>
    </w:p>
    <w:p w14:paraId="6D764FE9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</w:p>
    <w:p w14:paraId="308CEEF8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14. 企业2026年是否会增加投资？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20EED21D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A.是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（跳转第15题）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；</w:t>
      </w:r>
    </w:p>
    <w:p w14:paraId="00AA3F76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B.否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（跳转第17题）。</w:t>
      </w:r>
    </w:p>
    <w:p w14:paraId="04F2D8F3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</w:p>
    <w:p w14:paraId="5ED069EF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15. 企业打算以何种方式进行投资？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0E078BBD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A.新建、扩建厂房、门店等；</w:t>
      </w:r>
    </w:p>
    <w:p w14:paraId="6DF9441F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B.设备投资；</w:t>
      </w:r>
    </w:p>
    <w:p w14:paraId="21CB320B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C.其他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（请注明）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u w:val="single"/>
          <w:lang w:val="en-US" w:eastAsia="zh-CN" w:bidi="ar-SA"/>
        </w:rPr>
        <w:t xml:space="preserve">                 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u w:val="none"/>
          <w:lang w:val="en-US" w:eastAsia="zh-CN" w:bidi="ar-SA"/>
        </w:rPr>
        <w:t>。</w:t>
      </w:r>
    </w:p>
    <w:p w14:paraId="3EF82D96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</w:p>
    <w:p w14:paraId="3C6BE02A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 xml:space="preserve">16. 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预计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企业2026年新增投资项目的规模是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？</w:t>
      </w:r>
    </w:p>
    <w:p w14:paraId="6F24BD39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A.计划总投资500万元以下；</w:t>
      </w:r>
    </w:p>
    <w:p w14:paraId="72E92BA6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B.计划总投资500万元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1亿元；</w:t>
      </w:r>
    </w:p>
    <w:p w14:paraId="70CE5BA2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C.计划总投资1亿元以上。</w:t>
      </w:r>
    </w:p>
    <w:p w14:paraId="33C7AF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</w:p>
    <w:p w14:paraId="5F49B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17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预计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2026年一季度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研发投入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比去年同期</w:t>
      </w:r>
      <w:r>
        <w:rPr>
          <w:rFonts w:hint="eastAsia" w:ascii="宋体" w:hAnsi="宋体" w:eastAsia="宋体" w:cs="宋体"/>
          <w:kern w:val="2"/>
          <w:sz w:val="32"/>
          <w:szCs w:val="32"/>
          <w:highlight w:val="none"/>
          <w:lang w:val="en-US" w:eastAsia="zh-CN" w:bidi="ar-SA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（工业、服务业企业填）</w:t>
      </w:r>
    </w:p>
    <w:p w14:paraId="7E97F3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A.增长50%以上；</w:t>
      </w:r>
    </w:p>
    <w:p w14:paraId="6D3D31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B.增长30～50%；</w:t>
      </w:r>
    </w:p>
    <w:p w14:paraId="0EB13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C.增长10～30%；</w:t>
      </w:r>
    </w:p>
    <w:p w14:paraId="40D81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D.增长10%以内；</w:t>
      </w:r>
    </w:p>
    <w:p w14:paraId="68178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E.持平；</w:t>
      </w:r>
    </w:p>
    <w:p w14:paraId="60A806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F.下降10%以内；</w:t>
      </w:r>
    </w:p>
    <w:p w14:paraId="742A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G.下降10～30%；</w:t>
      </w:r>
    </w:p>
    <w:p w14:paraId="59191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H.下降30～50%；</w:t>
      </w:r>
    </w:p>
    <w:p w14:paraId="60251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I.下降50%以上。</w:t>
      </w:r>
    </w:p>
    <w:p w14:paraId="45625D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0B1AF7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18. 企业是否有产品出口？（工业企业填）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55CB75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A.是（跳转第17题）；</w:t>
      </w:r>
    </w:p>
    <w:p w14:paraId="255E20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B.否（跳转第19题）。</w:t>
      </w:r>
    </w:p>
    <w:p w14:paraId="3C1782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6F2868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 xml:space="preserve">19. 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预计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2026年一季度企业出口量比去年同期？（工业企业填）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540372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A.减少（跳转第20题）；</w:t>
      </w:r>
    </w:p>
    <w:p w14:paraId="6232EC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B.基本持平（跳转第21题）；</w:t>
      </w:r>
    </w:p>
    <w:p w14:paraId="3C6F20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C.增加（跳转第21题）。</w:t>
      </w:r>
    </w:p>
    <w:p w14:paraId="76FCCC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22CFD8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20. 2026年一季度企业出口量比去年同期减少的主要原因？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（最多选3项）（工业企业填）</w:t>
      </w:r>
    </w:p>
    <w:p w14:paraId="6C6061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A.海外市场需求减少、订单不足；</w:t>
      </w:r>
    </w:p>
    <w:p w14:paraId="7320FC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B.贸易摩擦，订单流出至国外企业；</w:t>
      </w:r>
    </w:p>
    <w:p w14:paraId="22F185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C.产品竞争力不足；</w:t>
      </w:r>
    </w:p>
    <w:p w14:paraId="54AEA7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D.国际物流受阻；</w:t>
      </w:r>
    </w:p>
    <w:p w14:paraId="2E245F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E.原材料价格上涨；</w:t>
      </w:r>
    </w:p>
    <w:p w14:paraId="394D58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F.汇率影响；</w:t>
      </w:r>
    </w:p>
    <w:p w14:paraId="1A03C4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G.其他（请注明）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none"/>
          <w:lang w:val="en-US" w:eastAsia="zh-CN"/>
        </w:rPr>
        <w:t>。</w:t>
      </w:r>
    </w:p>
    <w:p w14:paraId="1DC5F5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1946AA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 xml:space="preserve">21 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当前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企业有无将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苏州本地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业务转移的打算？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</w:p>
    <w:p w14:paraId="029413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A.有；</w:t>
      </w:r>
    </w:p>
    <w:p w14:paraId="4B734C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B.无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。</w:t>
      </w:r>
    </w:p>
    <w:p w14:paraId="13986F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</w:p>
    <w:p w14:paraId="213BF2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、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企业主要指标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预计</w:t>
      </w:r>
    </w:p>
    <w:p w14:paraId="4FA325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22. 预计2026年一季度企业产值同比增长__%。（工业企业填）</w:t>
      </w:r>
    </w:p>
    <w:p w14:paraId="1C7D33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24F86113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预计2026年一季度企业产能利用率为</w:t>
      </w:r>
      <w:bookmarkStart w:id="1" w:name="OLE_LINK16"/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___</w:t>
      </w:r>
      <w:bookmarkEnd w:id="1"/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%。（工业企业填）</w:t>
      </w:r>
    </w:p>
    <w:p w14:paraId="489BB7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522210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24. 预计2026年一季度销售额（营业额）同比增长__%。（批零企业填销售额情况、住餐企业填营业额情况）</w:t>
      </w:r>
    </w:p>
    <w:p w14:paraId="4B6187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4F201B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25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预计2026年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1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2月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企业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营业收入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同比增长__%，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1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5月营业收入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同比增长__%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（服务业企业填）</w:t>
      </w:r>
    </w:p>
    <w:p w14:paraId="5D745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0" w:firstLineChars="0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438E67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、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企业及行业预期研判</w:t>
      </w:r>
    </w:p>
    <w:p w14:paraId="6CD847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26. 2026年一季度企业综合经营状况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210623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2026年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1～2月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企业综合经营状况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2B19237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A.良好；</w:t>
      </w:r>
    </w:p>
    <w:p w14:paraId="414A48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B.一般；</w:t>
      </w:r>
    </w:p>
    <w:p w14:paraId="71E8701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C.不佳。</w:t>
      </w:r>
    </w:p>
    <w:p w14:paraId="3D596078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请填写对企业综合经营状况判断的原因：</w:t>
      </w:r>
      <w:r>
        <w:rPr>
          <w:rFonts w:hint="eastAsia" w:ascii="宋体" w:hAnsi="宋体" w:eastAsia="宋体" w:cs="宋体"/>
          <w:sz w:val="32"/>
          <w:szCs w:val="32"/>
          <w:u w:val="single"/>
          <w:lang w:val="en-US" w:eastAsia="zh-CN"/>
        </w:rPr>
        <w:t xml:space="preserve">                        </w:t>
      </w:r>
    </w:p>
    <w:p w14:paraId="5D3619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6D5626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27. 2026年二季度企业综合经营状况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56F07E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2026年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1～5月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企业综合经营状况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2C0E1D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A.良好；</w:t>
      </w:r>
    </w:p>
    <w:p w14:paraId="43DA82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B.一般；</w:t>
      </w:r>
    </w:p>
    <w:p w14:paraId="5D14D6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C.不佳。</w:t>
      </w:r>
    </w:p>
    <w:p w14:paraId="0D76C8D8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请填写对企业综合经营状况判断的原因：</w:t>
      </w:r>
      <w:r>
        <w:rPr>
          <w:rFonts w:hint="eastAsia" w:ascii="宋体" w:hAnsi="宋体" w:eastAsia="宋体" w:cs="宋体"/>
          <w:sz w:val="32"/>
          <w:szCs w:val="32"/>
          <w:u w:val="single"/>
          <w:lang w:val="en-US" w:eastAsia="zh-CN"/>
        </w:rPr>
        <w:t xml:space="preserve">                        </w:t>
      </w:r>
    </w:p>
    <w:p w14:paraId="50D89E9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3E0C6E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28. 2026年一季度企业所属行业综合发展状况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32E9ABC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2026年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1～2月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企业所属行业综合发展状况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040681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A.良好；</w:t>
      </w:r>
    </w:p>
    <w:p w14:paraId="60E1BA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B.一般；</w:t>
      </w:r>
    </w:p>
    <w:p w14:paraId="653339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C.不佳。</w:t>
      </w:r>
    </w:p>
    <w:p w14:paraId="3124799C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请填写对行业综合发展状况判断的原因：</w:t>
      </w:r>
      <w:r>
        <w:rPr>
          <w:rFonts w:hint="eastAsia" w:ascii="宋体" w:hAnsi="宋体" w:eastAsia="宋体" w:cs="宋体"/>
          <w:sz w:val="32"/>
          <w:szCs w:val="32"/>
          <w:u w:val="single"/>
          <w:lang w:val="en-US" w:eastAsia="zh-CN"/>
        </w:rPr>
        <w:t xml:space="preserve">                        </w:t>
      </w:r>
    </w:p>
    <w:p w14:paraId="20583C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</w:p>
    <w:p w14:paraId="2DE26E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29. 2026年二季度企业所属行业综合发展状况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）（工业、贸易企业填）</w:t>
      </w:r>
    </w:p>
    <w:p w14:paraId="2F4936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2026年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1～5月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企业所属行业综合发展状况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）（服务业企业填）</w:t>
      </w:r>
    </w:p>
    <w:p w14:paraId="638A6E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A.良好；</w:t>
      </w:r>
    </w:p>
    <w:p w14:paraId="34D10E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B.一般；</w:t>
      </w:r>
    </w:p>
    <w:p w14:paraId="2D5B0B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C.不佳。</w:t>
      </w:r>
    </w:p>
    <w:p w14:paraId="0542F38E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请填写对行业综合发展状况判断的原因：</w:t>
      </w:r>
      <w:r>
        <w:rPr>
          <w:rFonts w:hint="eastAsia" w:ascii="宋体" w:hAnsi="宋体" w:eastAsia="宋体" w:cs="宋体"/>
          <w:sz w:val="32"/>
          <w:szCs w:val="32"/>
          <w:u w:val="single"/>
          <w:lang w:val="en-US" w:eastAsia="zh-CN"/>
        </w:rPr>
        <w:t xml:space="preserve">                        </w:t>
      </w:r>
    </w:p>
    <w:p w14:paraId="7F6D1F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</w:p>
    <w:p w14:paraId="28B733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、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面临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困难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和诉求</w:t>
      </w:r>
    </w:p>
    <w:p w14:paraId="6A042F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30. 当前企业生产经营面临的主要困难？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（最多选5项）</w:t>
      </w:r>
    </w:p>
    <w:p w14:paraId="2D0B2C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A.原材料价格上涨；</w:t>
      </w:r>
    </w:p>
    <w:p w14:paraId="004177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B.原材料采购受阻；</w:t>
      </w:r>
    </w:p>
    <w:p w14:paraId="38A235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市场需求不足</w:t>
      </w:r>
      <w:r>
        <w:rPr>
          <w:rFonts w:hint="eastAsia" w:ascii="宋体" w:hAnsi="宋体" w:eastAsia="宋体" w:cs="宋体"/>
          <w:sz w:val="32"/>
          <w:szCs w:val="32"/>
          <w:highlight w:val="none"/>
          <w:lang w:eastAsia="zh-CN"/>
        </w:rPr>
        <w:t>；</w:t>
      </w:r>
    </w:p>
    <w:p w14:paraId="1B9EEF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D.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订单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或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客源流失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；</w:t>
      </w:r>
    </w:p>
    <w:p w14:paraId="384001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E.上游供应不足；</w:t>
      </w:r>
    </w:p>
    <w:p w14:paraId="1DA727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F.租金税费压力大；</w:t>
      </w:r>
    </w:p>
    <w:p w14:paraId="6FAC7B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G.人工成本上升；</w:t>
      </w:r>
    </w:p>
    <w:p w14:paraId="7E2A5B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H.招工难；</w:t>
      </w:r>
    </w:p>
    <w:p w14:paraId="493D7B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I.供应链物流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配送不畅；</w:t>
      </w:r>
    </w:p>
    <w:p w14:paraId="58D7E2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J.资金紧张；</w:t>
      </w:r>
    </w:p>
    <w:p w14:paraId="74CBFC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K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行业内卷，竞争加剧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；</w:t>
      </w:r>
    </w:p>
    <w:p w14:paraId="54D902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L.其他（请注明）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u w:val="none"/>
          <w:lang w:val="en-US" w:eastAsia="zh-CN"/>
        </w:rPr>
        <w:t>。</w:t>
      </w:r>
    </w:p>
    <w:p w14:paraId="40AEC6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2605E63B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当前企业所属行业存在的主要问题？（）（最多选5项）</w:t>
      </w:r>
    </w:p>
    <w:p w14:paraId="1E00F0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A.行业内产能过剩；</w:t>
      </w:r>
    </w:p>
    <w:p w14:paraId="24A7DF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B.市场需求萎缩；</w:t>
      </w:r>
    </w:p>
    <w:p w14:paraId="16B049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C.订单转移海外风险增加；</w:t>
      </w:r>
    </w:p>
    <w:p w14:paraId="58966E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D.企业同质化竞争加剧；</w:t>
      </w:r>
    </w:p>
    <w:p w14:paraId="29A4C5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E.技术转化难度大，核心技术被国外垄断；</w:t>
      </w:r>
    </w:p>
    <w:p w14:paraId="0CC577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F.科研型人才短缺；</w:t>
      </w:r>
    </w:p>
    <w:p w14:paraId="6215D1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G.原材料、用工成本上涨；</w:t>
      </w:r>
    </w:p>
    <w:p w14:paraId="0AF7C7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H.产品价格下跌；</w:t>
      </w:r>
    </w:p>
    <w:p w14:paraId="441A4D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I.</w:t>
      </w:r>
      <w:bookmarkStart w:id="2" w:name="OLE_LINK21"/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其他（请注明）________________。</w:t>
      </w:r>
    </w:p>
    <w:bookmarkEnd w:id="2"/>
    <w:p w14:paraId="3FAE84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0FED0E49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bookmarkStart w:id="3" w:name="OLE_LINK20"/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未来企业所属行业发展的核心增长点</w:t>
      </w:r>
      <w:bookmarkEnd w:id="3"/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？（）（最多选3项）（工业企业填）</w:t>
      </w:r>
    </w:p>
    <w:p w14:paraId="0DB8938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A.开拓新兴市场；</w:t>
      </w:r>
    </w:p>
    <w:p w14:paraId="579EA7B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B.产品高端化发展；</w:t>
      </w:r>
    </w:p>
    <w:p w14:paraId="453BAC2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C.智能制造与AI深度融合；</w:t>
      </w:r>
    </w:p>
    <w:p w14:paraId="26E18D5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D.绿色低碳与能效提升转型；</w:t>
      </w:r>
    </w:p>
    <w:p w14:paraId="04EBFDF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E.产业链供应链自主安全可控；</w:t>
      </w:r>
    </w:p>
    <w:p w14:paraId="6A3A896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F.关键领域核心技术研发突破；</w:t>
      </w:r>
    </w:p>
    <w:p w14:paraId="1AE354E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highlight w:val="none"/>
          <w:lang w:val="en-US" w:eastAsia="zh-CN"/>
        </w:rPr>
        <w:t>G.其他（请注明）________________。</w:t>
      </w:r>
    </w:p>
    <w:p w14:paraId="58B1F2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</w:pPr>
    </w:p>
    <w:p w14:paraId="1FA7A0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33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企业希望政府重点优化哪些帮扶政策？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（ ）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（最多选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项）</w:t>
      </w:r>
    </w:p>
    <w:p w14:paraId="58D853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A.税费社保费等减免或延迟缴纳；</w:t>
      </w:r>
    </w:p>
    <w:p w14:paraId="493730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</w:rPr>
        <w:t>B.租金贷款等减免或延期偿还；</w:t>
      </w:r>
    </w:p>
    <w:p w14:paraId="19D3FE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C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.增加信贷资金支持、降低融资成本；</w:t>
      </w:r>
    </w:p>
    <w:p w14:paraId="6AF415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D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.提供援企稳岗补贴；</w:t>
      </w:r>
    </w:p>
    <w:p w14:paraId="6DF06C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E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.提供人才补贴支持；</w:t>
      </w:r>
    </w:p>
    <w:p w14:paraId="4287A4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F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.提供多渠道员工招聘途径；</w:t>
      </w:r>
    </w:p>
    <w:p w14:paraId="2CFBBA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G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.疏通采购和销售渠道；</w:t>
      </w:r>
    </w:p>
    <w:p w14:paraId="598E44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H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.帮助企业开拓国内外市场增加订单；</w:t>
      </w:r>
    </w:p>
    <w:p w14:paraId="6ABEE5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I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.简化相关行政审批；</w:t>
      </w:r>
    </w:p>
    <w:p w14:paraId="776166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J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.营造公平高效营商环境；</w:t>
      </w:r>
    </w:p>
    <w:p w14:paraId="29CF9F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textAlignment w:val="auto"/>
        <w:rPr>
          <w:rFonts w:hint="eastAsia" w:ascii="宋体" w:hAnsi="宋体" w:eastAsia="宋体" w:cs="宋体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K</w:t>
      </w:r>
      <w:r>
        <w:rPr>
          <w:rFonts w:hint="eastAsia" w:ascii="宋体" w:hAnsi="宋体" w:eastAsia="宋体" w:cs="宋体"/>
          <w:sz w:val="32"/>
          <w:szCs w:val="32"/>
          <w:highlight w:val="none"/>
        </w:rPr>
        <w:t>.其他（请注明帮扶政策）</w:t>
      </w:r>
      <w:r>
        <w:rPr>
          <w:rFonts w:hint="eastAsia" w:ascii="宋体" w:hAnsi="宋体" w:eastAsia="宋体" w:cs="宋体"/>
          <w:sz w:val="32"/>
          <w:szCs w:val="32"/>
          <w:highlight w:val="none"/>
          <w:u w:val="single"/>
          <w:lang w:val="en-US" w:eastAsia="zh-CN"/>
        </w:rPr>
        <w:t xml:space="preserve">                        </w:t>
      </w:r>
      <w:r>
        <w:rPr>
          <w:rFonts w:hint="eastAsia" w:ascii="宋体" w:hAnsi="宋体" w:eastAsia="宋体" w:cs="宋体"/>
          <w:sz w:val="32"/>
          <w:szCs w:val="32"/>
          <w:highlight w:val="none"/>
          <w:u w:val="none"/>
          <w:lang w:val="en-US" w:eastAsia="zh-CN"/>
        </w:rPr>
        <w:t>。</w:t>
      </w:r>
    </w:p>
    <w:p w14:paraId="0308A9E2">
      <w:pPr>
        <w:spacing w:after="0" w:line="560" w:lineRule="exact"/>
        <w:jc w:val="both"/>
        <w:rPr>
          <w:rFonts w:ascii="仿宋_GB2312" w:eastAsia="仿宋_GB2312"/>
          <w:sz w:val="24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19521862"/>
      <w:docPartObj>
        <w:docPartGallery w:val="autotext"/>
      </w:docPartObj>
    </w:sdtPr>
    <w:sdtEndPr>
      <w:rPr>
        <w:rFonts w:ascii="宋体" w:hAnsi="宋体" w:eastAsia="宋体"/>
        <w:sz w:val="21"/>
        <w:szCs w:val="21"/>
      </w:rPr>
    </w:sdtEndPr>
    <w:sdtContent>
      <w:p w14:paraId="7C90C409">
        <w:pPr>
          <w:pStyle w:val="4"/>
          <w:jc w:val="center"/>
          <w:rPr>
            <w:rFonts w:ascii="宋体" w:hAnsi="宋体" w:eastAsia="宋体"/>
            <w:sz w:val="21"/>
            <w:szCs w:val="21"/>
          </w:rPr>
        </w:pPr>
        <w:r>
          <w:rPr>
            <w:rFonts w:ascii="宋体" w:hAnsi="宋体" w:eastAsia="宋体"/>
            <w:sz w:val="21"/>
            <w:szCs w:val="21"/>
          </w:rPr>
          <w:fldChar w:fldCharType="begin"/>
        </w:r>
        <w:r>
          <w:rPr>
            <w:rFonts w:ascii="宋体" w:hAnsi="宋体" w:eastAsia="宋体"/>
            <w:sz w:val="21"/>
            <w:szCs w:val="21"/>
          </w:rPr>
          <w:instrText xml:space="preserve">PAGE   \* MERGEFORMAT</w:instrText>
        </w:r>
        <w:r>
          <w:rPr>
            <w:rFonts w:ascii="宋体" w:hAnsi="宋体" w:eastAsia="宋体"/>
            <w:sz w:val="21"/>
            <w:szCs w:val="21"/>
          </w:rPr>
          <w:fldChar w:fldCharType="separate"/>
        </w:r>
        <w:r>
          <w:rPr>
            <w:rFonts w:ascii="宋体" w:hAnsi="宋体" w:eastAsia="宋体"/>
            <w:sz w:val="21"/>
            <w:szCs w:val="21"/>
            <w:lang w:val="zh-CN"/>
          </w:rPr>
          <w:t>1</w:t>
        </w:r>
        <w:r>
          <w:rPr>
            <w:rFonts w:ascii="宋体" w:hAnsi="宋体" w:eastAsia="宋体"/>
            <w:sz w:val="21"/>
            <w:szCs w:val="21"/>
          </w:rPr>
          <w:fldChar w:fldCharType="end"/>
        </w:r>
      </w:p>
    </w:sdtContent>
  </w:sdt>
  <w:p w14:paraId="19D6CABD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17718B"/>
    <w:multiLevelType w:val="singleLevel"/>
    <w:tmpl w:val="A317718B"/>
    <w:lvl w:ilvl="0" w:tentative="0">
      <w:start w:val="31"/>
      <w:numFmt w:val="decimal"/>
      <w:suff w:val="space"/>
      <w:lvlText w:val="%1."/>
      <w:lvlJc w:val="left"/>
    </w:lvl>
  </w:abstractNum>
  <w:abstractNum w:abstractNumId="1">
    <w:nsid w:val="105DEE57"/>
    <w:multiLevelType w:val="singleLevel"/>
    <w:tmpl w:val="105DEE57"/>
    <w:lvl w:ilvl="0" w:tentative="0">
      <w:start w:val="23"/>
      <w:numFmt w:val="decimal"/>
      <w:suff w:val="space"/>
      <w:lvlText w:val="%1.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7A3"/>
    <w:rsid w:val="0000360D"/>
    <w:rsid w:val="00012F80"/>
    <w:rsid w:val="00051872"/>
    <w:rsid w:val="0005404E"/>
    <w:rsid w:val="00065A4C"/>
    <w:rsid w:val="00073AA3"/>
    <w:rsid w:val="000D7436"/>
    <w:rsid w:val="000D7DC1"/>
    <w:rsid w:val="00120340"/>
    <w:rsid w:val="00166012"/>
    <w:rsid w:val="002079CF"/>
    <w:rsid w:val="00223716"/>
    <w:rsid w:val="00231243"/>
    <w:rsid w:val="00242BEB"/>
    <w:rsid w:val="00285248"/>
    <w:rsid w:val="00286811"/>
    <w:rsid w:val="002A2E2B"/>
    <w:rsid w:val="002D00A6"/>
    <w:rsid w:val="00316599"/>
    <w:rsid w:val="003758AF"/>
    <w:rsid w:val="003B1562"/>
    <w:rsid w:val="003C4137"/>
    <w:rsid w:val="003F40E2"/>
    <w:rsid w:val="00440C7C"/>
    <w:rsid w:val="00446BFE"/>
    <w:rsid w:val="004B1B02"/>
    <w:rsid w:val="005018D7"/>
    <w:rsid w:val="00501A5A"/>
    <w:rsid w:val="00512F9B"/>
    <w:rsid w:val="00532A0F"/>
    <w:rsid w:val="00546AAD"/>
    <w:rsid w:val="005663B5"/>
    <w:rsid w:val="00572090"/>
    <w:rsid w:val="005722A6"/>
    <w:rsid w:val="005807CA"/>
    <w:rsid w:val="005B14A4"/>
    <w:rsid w:val="006465E2"/>
    <w:rsid w:val="0066048C"/>
    <w:rsid w:val="00692D9A"/>
    <w:rsid w:val="00697A57"/>
    <w:rsid w:val="006B7571"/>
    <w:rsid w:val="006C78E1"/>
    <w:rsid w:val="006D60D0"/>
    <w:rsid w:val="006E114D"/>
    <w:rsid w:val="0071770B"/>
    <w:rsid w:val="007231F5"/>
    <w:rsid w:val="00724D4E"/>
    <w:rsid w:val="00754754"/>
    <w:rsid w:val="00792EF8"/>
    <w:rsid w:val="007C203B"/>
    <w:rsid w:val="007C72FA"/>
    <w:rsid w:val="007F6B3E"/>
    <w:rsid w:val="008121CA"/>
    <w:rsid w:val="00856D00"/>
    <w:rsid w:val="008937A3"/>
    <w:rsid w:val="008D7608"/>
    <w:rsid w:val="008F30E7"/>
    <w:rsid w:val="009A384F"/>
    <w:rsid w:val="009C5BAF"/>
    <w:rsid w:val="00A114CC"/>
    <w:rsid w:val="00A41E5D"/>
    <w:rsid w:val="00AE61DC"/>
    <w:rsid w:val="00B83EF0"/>
    <w:rsid w:val="00B91908"/>
    <w:rsid w:val="00B9211B"/>
    <w:rsid w:val="00B931DF"/>
    <w:rsid w:val="00BB4453"/>
    <w:rsid w:val="00BC14A1"/>
    <w:rsid w:val="00BC7B92"/>
    <w:rsid w:val="00C202FC"/>
    <w:rsid w:val="00C30231"/>
    <w:rsid w:val="00C60CF2"/>
    <w:rsid w:val="00C741B6"/>
    <w:rsid w:val="00CA142D"/>
    <w:rsid w:val="00CB45F4"/>
    <w:rsid w:val="00CF2091"/>
    <w:rsid w:val="00D7154F"/>
    <w:rsid w:val="00D716E0"/>
    <w:rsid w:val="00DA5905"/>
    <w:rsid w:val="00E600BC"/>
    <w:rsid w:val="00E869B2"/>
    <w:rsid w:val="00EB4974"/>
    <w:rsid w:val="00EC5AF7"/>
    <w:rsid w:val="00ED1EE2"/>
    <w:rsid w:val="00F33841"/>
    <w:rsid w:val="00F945E9"/>
    <w:rsid w:val="00FA66B9"/>
    <w:rsid w:val="00FA7469"/>
    <w:rsid w:val="00FC1B7B"/>
    <w:rsid w:val="00FD165A"/>
    <w:rsid w:val="02637D1E"/>
    <w:rsid w:val="049B4F14"/>
    <w:rsid w:val="0B530591"/>
    <w:rsid w:val="13841626"/>
    <w:rsid w:val="13A72FED"/>
    <w:rsid w:val="1657648C"/>
    <w:rsid w:val="17D74C3C"/>
    <w:rsid w:val="193B33BD"/>
    <w:rsid w:val="25D24683"/>
    <w:rsid w:val="30F0221A"/>
    <w:rsid w:val="33FE7BAA"/>
    <w:rsid w:val="358B7C2F"/>
    <w:rsid w:val="36516E5A"/>
    <w:rsid w:val="3B033D3C"/>
    <w:rsid w:val="4227349D"/>
    <w:rsid w:val="4AD17BE5"/>
    <w:rsid w:val="535D0737"/>
    <w:rsid w:val="57E57ED9"/>
    <w:rsid w:val="5F3F2144"/>
    <w:rsid w:val="6B725876"/>
    <w:rsid w:val="6B797322"/>
    <w:rsid w:val="7300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spacing w:after="0" w:line="240" w:lineRule="auto"/>
      <w:ind w:firstLine="420" w:firstLineChars="200"/>
      <w:jc w:val="both"/>
    </w:pPr>
    <w:rPr>
      <w:rFonts w:ascii="Calibri" w:hAnsi="Calibri" w:eastAsia="宋体" w:cs="Times New Roman"/>
      <w:sz w:val="21"/>
      <w:szCs w:val="22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List Paragraph"/>
    <w:basedOn w:val="1"/>
    <w:qFormat/>
    <w:uiPriority w:val="99"/>
    <w:pPr>
      <w:ind w:firstLine="420" w:firstLineChars="200"/>
    </w:p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3085</Words>
  <Characters>3490</Characters>
  <Lines>26</Lines>
  <Paragraphs>7</Paragraphs>
  <TotalTime>16</TotalTime>
  <ScaleCrop>false</ScaleCrop>
  <LinksUpToDate>false</LinksUpToDate>
  <CharactersWithSpaces>3836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2025-01-16T10:44:00Z</dcterms:created>
  <dc:creator>赵亮</dc:creator>
  <cp:lastModifiedBy>蔡浩鹏</cp:lastModifiedBy>
  <cp:lastPrinted>2025-01-16T10:46:00Z</cp:lastPrinted>
  <dcterms:modified xsi:type="dcterms:W3CDTF">2026-02-28T02:32:09Z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eyJoZGlkIjoiMGMxMGM3MzQ5M2JhNWNhMmRmMjQ1M2M5MWRiZTVjM2YiLCJ1c2VySWQiOiIyNTM0MTY0ODcifQ==</vt:lpwstr>
  </property>
  <property fmtid="{D5CDD505-2E9C-101B-9397-08002B2CF9AE}" pid="3" name="KSOProductBuildVer">
    <vt:lpwstr>2052-12.1.0.25225</vt:lpwstr>
  </property>
  <property fmtid="{D5CDD505-2E9C-101B-9397-08002B2CF9AE}" pid="4" name="ICV">
    <vt:lpwstr>AB4D4E0662504CC4BEE167BD2C19DDED_13</vt:lpwstr>
  </property>
</Properties>
</file>