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FDA19">
      <w:pPr>
        <w:ind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江苏省经济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运行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企业调查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平台调查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问卷</w:t>
      </w:r>
    </w:p>
    <w:p w14:paraId="58896D60">
      <w:pPr>
        <w:ind w:firstLine="0" w:firstLineChars="0"/>
        <w:jc w:val="center"/>
        <w:rPr>
          <w:rFonts w:eastAsia="方正黑体_GBK" w:cs="Times New Roman"/>
          <w:sz w:val="28"/>
        </w:rPr>
      </w:pPr>
    </w:p>
    <w:p w14:paraId="6063E5A6">
      <w:pPr>
        <w:wordWrap w:val="0"/>
        <w:spacing w:line="220" w:lineRule="exact"/>
        <w:jc w:val="center"/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 xml:space="preserve">                                         </w:t>
      </w:r>
      <w:r>
        <w:rPr>
          <w:rFonts w:hint="default" w:ascii="Times New Roman" w:hAnsi="Times New Roman" w:cs="Times New Roman"/>
          <w:sz w:val="21"/>
          <w:szCs w:val="21"/>
        </w:rPr>
        <w:t xml:space="preserve">表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  号：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JSJJYX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1号</w:t>
      </w:r>
    </w:p>
    <w:p w14:paraId="6371F6E7">
      <w:pPr>
        <w:widowControl w:val="0"/>
        <w:spacing w:line="220" w:lineRule="exact"/>
        <w:ind w:firstLine="5670" w:firstLineChars="2700"/>
        <w:jc w:val="both"/>
        <w:rPr>
          <w:rFonts w:hint="default" w:ascii="Times New Roman" w:hAnsi="Times New Roman" w:eastAsia="方正仿宋_GBK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21"/>
          <w:szCs w:val="21"/>
          <w:lang w:val="en-US" w:eastAsia="zh-CN" w:bidi="ar-SA"/>
        </w:rPr>
        <w:t>制定机关：江苏省发展改革委</w:t>
      </w:r>
    </w:p>
    <w:p w14:paraId="40D363B7">
      <w:pPr>
        <w:widowControl w:val="0"/>
        <w:spacing w:line="220" w:lineRule="exact"/>
        <w:ind w:firstLine="420" w:firstLineChars="200"/>
        <w:jc w:val="center"/>
        <w:rPr>
          <w:rFonts w:hint="default" w:ascii="Times New Roman" w:hAnsi="Times New Roman" w:eastAsia="方正仿宋_GBK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21"/>
          <w:szCs w:val="21"/>
          <w:lang w:val="en-US" w:eastAsia="zh-CN" w:bidi="ar-SA"/>
        </w:rPr>
        <w:t xml:space="preserve">                                     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            </w:t>
      </w:r>
      <w:r>
        <w:rPr>
          <w:rFonts w:hint="default" w:ascii="Times New Roman" w:hAnsi="Times New Roman" w:eastAsia="方正仿宋_GBK" w:cs="Times New Roman"/>
          <w:kern w:val="2"/>
          <w:sz w:val="21"/>
          <w:szCs w:val="21"/>
          <w:lang w:val="en-US" w:eastAsia="zh-CN" w:bidi="ar-SA"/>
        </w:rPr>
        <w:t>批准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>文号</w:t>
      </w:r>
      <w:r>
        <w:rPr>
          <w:rFonts w:hint="default" w:ascii="Times New Roman" w:hAnsi="Times New Roman" w:eastAsia="方正仿宋_GBK" w:cs="Times New Roman"/>
          <w:kern w:val="2"/>
          <w:sz w:val="21"/>
          <w:szCs w:val="21"/>
          <w:lang w:val="en-US" w:eastAsia="zh-CN" w:bidi="ar-SA"/>
        </w:rPr>
        <w:t>：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>苏统制</w:t>
      </w:r>
      <w:r>
        <w:rPr>
          <w:rFonts w:hint="default" w:ascii="Times New Roman" w:hAnsi="Times New Roman" w:eastAsia="方正仿宋_GBK" w:cs="Times New Roman"/>
          <w:kern w:val="2"/>
          <w:sz w:val="21"/>
          <w:szCs w:val="21"/>
          <w:lang w:val="en-US" w:eastAsia="zh-CN" w:bidi="ar-SA"/>
        </w:rPr>
        <w:t>〔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>2026</w:t>
      </w:r>
      <w:r>
        <w:rPr>
          <w:rFonts w:hint="default" w:ascii="Times New Roman" w:hAnsi="Times New Roman" w:eastAsia="方正仿宋_GBK" w:cs="Times New Roman"/>
          <w:kern w:val="2"/>
          <w:sz w:val="21"/>
          <w:szCs w:val="21"/>
          <w:lang w:val="en-US" w:eastAsia="zh-CN" w:bidi="ar-SA"/>
        </w:rPr>
        <w:t>〕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>12号</w:t>
      </w:r>
      <w:r>
        <w:rPr>
          <w:rFonts w:hint="default" w:ascii="Times New Roman" w:hAnsi="Times New Roman" w:eastAsia="方正仿宋_GBK" w:cs="Times New Roman"/>
          <w:kern w:val="2"/>
          <w:sz w:val="21"/>
          <w:szCs w:val="21"/>
          <w:lang w:val="en-US" w:eastAsia="zh-CN" w:bidi="ar-SA"/>
        </w:rPr>
        <w:t xml:space="preserve">             </w:t>
      </w:r>
    </w:p>
    <w:p w14:paraId="45519AF6">
      <w:pPr>
        <w:widowControl w:val="0"/>
        <w:spacing w:line="220" w:lineRule="exact"/>
        <w:ind w:firstLine="420" w:firstLineChars="200"/>
        <w:jc w:val="center"/>
        <w:rPr>
          <w:rFonts w:hint="default" w:ascii="Times New Roman" w:hAnsi="Times New Roman" w:eastAsia="方正仿宋_GBK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21"/>
          <w:szCs w:val="21"/>
          <w:lang w:val="en-US" w:eastAsia="zh-CN" w:bidi="ar-SA"/>
        </w:rPr>
        <w:t xml:space="preserve">                                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         </w:t>
      </w:r>
      <w:r>
        <w:rPr>
          <w:rFonts w:hint="default" w:ascii="Times New Roman" w:hAnsi="Times New Roman" w:eastAsia="方正仿宋_GBK" w:cs="Times New Roman"/>
          <w:kern w:val="2"/>
          <w:sz w:val="21"/>
          <w:szCs w:val="21"/>
          <w:lang w:val="en-US" w:eastAsia="zh-CN" w:bidi="ar-SA"/>
        </w:rPr>
        <w:t>有效期至：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>2028年3月</w:t>
      </w:r>
      <w:r>
        <w:rPr>
          <w:rFonts w:hint="default" w:ascii="Times New Roman" w:hAnsi="Times New Roman" w:eastAsia="方正仿宋_GBK" w:cs="Times New Roman"/>
          <w:kern w:val="2"/>
          <w:sz w:val="21"/>
          <w:szCs w:val="21"/>
          <w:lang w:val="en-US" w:eastAsia="zh-CN" w:bidi="ar-SA"/>
        </w:rPr>
        <w:t xml:space="preserve"> </w:t>
      </w:r>
    </w:p>
    <w:p w14:paraId="03DC7E35">
      <w:pPr>
        <w:ind w:firstLine="560" w:firstLineChars="200"/>
        <w:jc w:val="both"/>
        <w:rPr>
          <w:rFonts w:hint="eastAsia" w:ascii="方正仿宋_GBK" w:hAnsi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您好，</w:t>
      </w:r>
      <w:r>
        <w:rPr>
          <w:rFonts w:hint="eastAsia" w:ascii="方正仿宋_GBK" w:hAnsi="方正仿宋_GBK" w:eastAsia="方正仿宋_GBK" w:cs="方正仿宋_GBK"/>
          <w:kern w:val="2"/>
          <w:sz w:val="28"/>
          <w:szCs w:val="28"/>
          <w:lang w:val="en-US" w:eastAsia="zh-CN" w:bidi="ar-SA"/>
        </w:rPr>
        <w:t>为及时把握全省经济运行走势趋势、掌握企业生产经营鲜活情况，</w:t>
      </w:r>
      <w:r>
        <w:rPr>
          <w:rFonts w:hint="eastAsia" w:ascii="方正仿宋_GBK" w:hAnsi="方正仿宋_GBK" w:cs="方正仿宋_GBK"/>
          <w:sz w:val="28"/>
          <w:szCs w:val="28"/>
          <w:lang w:val="en-US" w:eastAsia="zh-CN"/>
        </w:rPr>
        <w:t>开展此次问卷调查，感谢您的支持和配合。</w:t>
      </w:r>
    </w:p>
    <w:p w14:paraId="783F18BF">
      <w:pPr>
        <w:ind w:firstLine="560" w:firstLineChars="200"/>
        <w:jc w:val="right"/>
        <w:rPr>
          <w:rFonts w:hint="eastAsia" w:ascii="方正仿宋_GBK" w:hAnsi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cs="方正仿宋_GBK"/>
          <w:sz w:val="28"/>
          <w:szCs w:val="28"/>
          <w:lang w:val="en-US" w:eastAsia="zh-CN"/>
        </w:rPr>
        <w:t>江苏省发展改革委</w:t>
      </w:r>
    </w:p>
    <w:p w14:paraId="11ECBD9F">
      <w:pPr>
        <w:ind w:firstLine="560" w:firstLineChars="200"/>
        <w:jc w:val="center"/>
        <w:rPr>
          <w:rFonts w:hint="eastAsia" w:ascii="方正仿宋_GBK" w:hAnsi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cs="方正仿宋_GBK"/>
          <w:sz w:val="28"/>
          <w:szCs w:val="28"/>
          <w:lang w:val="en-US" w:eastAsia="zh-CN"/>
        </w:rPr>
        <w:t xml:space="preserve">                                        </w:t>
      </w:r>
    </w:p>
    <w:p w14:paraId="2BFCF09E">
      <w:pPr>
        <w:ind w:firstLine="560" w:firstLineChars="200"/>
        <w:jc w:val="center"/>
        <w:rPr>
          <w:rFonts w:hint="default" w:ascii="方正仿宋_GBK" w:hAnsi="方正仿宋_GBK" w:cs="方正仿宋_GBK"/>
          <w:sz w:val="28"/>
          <w:szCs w:val="28"/>
          <w:lang w:val="en-US" w:eastAsia="zh-CN"/>
        </w:rPr>
      </w:pPr>
    </w:p>
    <w:p w14:paraId="199BDCB0">
      <w:pPr>
        <w:ind w:left="0" w:leftChars="0" w:firstLine="0" w:firstLineChars="0"/>
        <w:jc w:val="center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第一部分、发展环境调查</w:t>
      </w:r>
    </w:p>
    <w:p w14:paraId="3405C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7" w:lineRule="exact"/>
        <w:ind w:left="0" w:leftChars="0" w:firstLine="0" w:firstLineChars="0"/>
        <w:jc w:val="center"/>
        <w:textAlignment w:val="auto"/>
        <w:rPr>
          <w:rFonts w:hint="default" w:ascii="方正黑体_GBK" w:hAnsi="方正黑体_GBK" w:eastAsia="方正黑体_GBK" w:cs="方正黑体_GBK"/>
          <w:sz w:val="28"/>
          <w:szCs w:val="28"/>
          <w:lang w:val="en-US" w:eastAsia="zh-CN"/>
        </w:rPr>
      </w:pPr>
    </w:p>
    <w:tbl>
      <w:tblPr>
        <w:tblStyle w:val="8"/>
        <w:tblW w:w="894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513"/>
        <w:gridCol w:w="1515"/>
        <w:gridCol w:w="2563"/>
        <w:gridCol w:w="1286"/>
        <w:gridCol w:w="1286"/>
      </w:tblGrid>
      <w:tr w14:paraId="6165B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1F830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textAlignment w:val="center"/>
              <w:rPr>
                <w:rFonts w:hint="eastAsia" w:ascii="方正黑体_GBK" w:hAnsi="方正黑体_GBK" w:eastAsia="方正黑体_GBK" w:cs="方正黑体_GBK"/>
                <w:sz w:val="20"/>
                <w:lang w:val="en-US" w:eastAsia="zh-CN"/>
              </w:rPr>
            </w:pPr>
            <w:r>
              <w:rPr>
                <w:rFonts w:hint="eastAsia"/>
                <w:b/>
                <w:bCs/>
                <w:spacing w:val="-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74CFD0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textAlignment w:val="center"/>
              <w:rPr>
                <w:rFonts w:hint="eastAsia" w:ascii="方正黑体_GBK" w:hAnsi="方正黑体_GBK" w:eastAsia="方正黑体_GBK" w:cs="方正黑体_GBK"/>
                <w:sz w:val="20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指标名称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835E30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textAlignment w:val="center"/>
              <w:rPr>
                <w:rFonts w:hint="eastAsia" w:ascii="方正黑体_GBK" w:hAnsi="方正黑体_GBK" w:eastAsia="方正楷体_GBK" w:cs="方正黑体_GBK"/>
                <w:sz w:val="20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本季度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预计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4B54C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textAlignment w:val="center"/>
              <w:rPr>
                <w:rFonts w:hint="eastAsia" w:ascii="方正黑体_GBK" w:hAnsi="方正黑体_GBK" w:eastAsia="方正黑体_GBK" w:cs="方正黑体_GBK"/>
                <w:sz w:val="20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下季度预计</w:t>
            </w:r>
          </w:p>
        </w:tc>
      </w:tr>
      <w:tr w14:paraId="32225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91656E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方正楷体_GBK"/>
                <w:sz w:val="20"/>
                <w:lang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1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A8705C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国际环境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830217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□变好 □持平 □变差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099EDC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□变好 □持平 □变差</w:t>
            </w:r>
          </w:p>
        </w:tc>
      </w:tr>
      <w:tr w14:paraId="7442E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A07DE6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2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5D60DB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行业景气度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89D3A7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 xml:space="preserve">□变好 </w:t>
            </w:r>
            <w:r>
              <w:rPr>
                <w:rFonts w:hint="eastAsia" w:ascii="Times New Roman" w:eastAsia="方正楷体_GBK"/>
                <w:sz w:val="20"/>
                <w:lang w:eastAsia="zh-CN"/>
              </w:rPr>
              <w:t>□</w:t>
            </w:r>
            <w:r>
              <w:rPr>
                <w:rFonts w:hint="eastAsia" w:ascii="Times New Roman" w:eastAsia="方正楷体_GBK"/>
                <w:sz w:val="20"/>
              </w:rPr>
              <w:t>持平 □变差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4B9517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□变好 □持平 □变差</w:t>
            </w:r>
          </w:p>
        </w:tc>
      </w:tr>
      <w:tr w14:paraId="3DDFD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8E19CA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3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FB8ACD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营商环境满意度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74F3D0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□上升 □持平 □下降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CBD555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□上升 □持平 □下降</w:t>
            </w:r>
          </w:p>
        </w:tc>
      </w:tr>
      <w:tr w14:paraId="4587E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43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D05AFE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20"/>
                <w:lang w:val="en-US" w:eastAsia="zh-CN"/>
              </w:rPr>
            </w:pPr>
          </w:p>
          <w:p w14:paraId="2E189B64">
            <w:pPr>
              <w:ind w:left="0" w:leftChars="0" w:firstLine="0" w:firstLineChars="0"/>
              <w:jc w:val="center"/>
              <w:rPr>
                <w:rFonts w:hint="default" w:eastAsia="方正楷体_GBK"/>
                <w:sz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第二部分、生产经营情况调查</w:t>
            </w:r>
          </w:p>
        </w:tc>
      </w:tr>
      <w:tr w14:paraId="33460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AF749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textAlignment w:val="center"/>
              <w:rPr>
                <w:rFonts w:hint="eastAsia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/>
                <w:b/>
                <w:bCs/>
                <w:spacing w:val="-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4F3A3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textAlignment w:val="center"/>
              <w:rPr>
                <w:rFonts w:hint="eastAsia" w:ascii="Times New Roman" w:eastAsia="方正楷体_GBK"/>
                <w:sz w:val="20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指标名称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2F80C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textAlignment w:val="center"/>
              <w:rPr>
                <w:rFonts w:hint="eastAsia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本季度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预计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60173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textAlignment w:val="center"/>
              <w:rPr>
                <w:rFonts w:hint="eastAsia" w:ascii="Times New Roman" w:eastAsia="方正楷体_GBK"/>
                <w:sz w:val="20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下季度预计</w:t>
            </w:r>
          </w:p>
        </w:tc>
      </w:tr>
      <w:tr w14:paraId="1AD1D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152D8D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方正楷体_GBK"/>
                <w:sz w:val="20"/>
                <w:lang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4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F50769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产品产量▲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493A7D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A3BE85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</w:tr>
      <w:tr w14:paraId="05E2C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1B0D79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5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F90CFD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施工项目总量●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C6C74D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C9AAF9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</w:tr>
      <w:tr w14:paraId="5C430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901610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6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14297E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用工人数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3D0C4D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□上升 □持平 □下降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2EA655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□上升 □持平 □下降</w:t>
            </w:r>
          </w:p>
        </w:tc>
      </w:tr>
      <w:tr w14:paraId="1C857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D96913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7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633E6E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原材料购进价格</w:t>
            </w:r>
            <w:r>
              <w:rPr>
                <w:rFonts w:ascii="Times New Roman" w:eastAsia="方正楷体_GBK"/>
                <w:sz w:val="20"/>
              </w:rPr>
              <w:t>▲</w:t>
            </w:r>
            <w:r>
              <w:rPr>
                <w:rFonts w:hint="eastAsia" w:ascii="Times New Roman" w:eastAsia="方正楷体_GBK"/>
                <w:sz w:val="20"/>
              </w:rPr>
              <w:t>●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78C4CB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□上升 □持平 □下降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F955EA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□上升 □持平 □下降</w:t>
            </w:r>
          </w:p>
        </w:tc>
      </w:tr>
      <w:tr w14:paraId="51855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27E9F2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8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7D7D9F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能源购进价格</w:t>
            </w:r>
            <w:r>
              <w:rPr>
                <w:rFonts w:ascii="Times New Roman" w:eastAsia="方正楷体_GBK"/>
                <w:sz w:val="20"/>
              </w:rPr>
              <w:t>▲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685A64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□上升 □持平 □下降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C2FB3C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□上升 □持平 □下降</w:t>
            </w:r>
          </w:p>
        </w:tc>
      </w:tr>
      <w:tr w14:paraId="5769B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257051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9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D3F279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购置商品（或</w:t>
            </w:r>
            <w:r>
              <w:rPr>
                <w:rFonts w:ascii="Times New Roman" w:eastAsia="方正楷体_GBK"/>
                <w:sz w:val="20"/>
              </w:rPr>
              <w:t>服务</w:t>
            </w:r>
            <w:r>
              <w:rPr>
                <w:rFonts w:hint="eastAsia" w:ascii="Times New Roman" w:eastAsia="方正楷体_GBK"/>
                <w:sz w:val="20"/>
              </w:rPr>
              <w:t>）价格</w:t>
            </w:r>
            <w:r>
              <w:rPr>
                <w:rFonts w:hint="eastAsia" w:ascii="Times New Roman" w:hAnsi="MS Mincho" w:eastAsia="方正楷体_GBK" w:cs="MS Mincho"/>
                <w:sz w:val="20"/>
              </w:rPr>
              <w:t>▮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3EA237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□上升 □持平 □下降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307728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□上升 □持平 □下降</w:t>
            </w:r>
          </w:p>
        </w:tc>
      </w:tr>
      <w:tr w14:paraId="0EF81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FE4556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10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290A16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产能利用率▲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090B99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 xml:space="preserve">□提高 </w:t>
            </w:r>
            <w:r>
              <w:rPr>
                <w:rFonts w:hint="eastAsia" w:ascii="Times New Roman" w:eastAsia="方正楷体_GBK"/>
                <w:sz w:val="20"/>
                <w:lang w:eastAsia="zh-CN"/>
              </w:rPr>
              <w:t>□</w:t>
            </w:r>
            <w:r>
              <w:rPr>
                <w:rFonts w:hint="eastAsia" w:ascii="Times New Roman" w:eastAsia="方正楷体_GBK"/>
                <w:sz w:val="20"/>
              </w:rPr>
              <w:t>持平 □降低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D476C1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</w:tr>
      <w:tr w14:paraId="418E1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B2B63A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11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955AD9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供应商交付时间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0F2B94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□缩短 □持平 □延长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9D501E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 xml:space="preserve">□缩短 </w:t>
            </w:r>
            <w:r>
              <w:rPr>
                <w:rFonts w:hint="eastAsia"/>
                <w:sz w:val="20"/>
                <w:lang w:eastAsia="zh-CN"/>
              </w:rPr>
              <w:t>□</w:t>
            </w:r>
            <w:r>
              <w:rPr>
                <w:rFonts w:hint="eastAsia" w:ascii="Times New Roman" w:eastAsia="方正楷体_GBK"/>
                <w:sz w:val="20"/>
              </w:rPr>
              <w:t>持平 □延长</w:t>
            </w:r>
          </w:p>
        </w:tc>
      </w:tr>
      <w:tr w14:paraId="06777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A3CAA8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12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B3D698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供应链稳定性▲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D407E2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  <w:lang w:eastAsia="zh-CN"/>
              </w:rPr>
              <w:t>□</w:t>
            </w:r>
            <w:r>
              <w:rPr>
                <w:rFonts w:hint="eastAsia" w:ascii="Times New Roman" w:eastAsia="方正楷体_GBK"/>
                <w:sz w:val="20"/>
              </w:rPr>
              <w:t>提高 □持平 □降低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25CD42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</w:tr>
      <w:tr w14:paraId="62F30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81AB0E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13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94C917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项目施工负荷率●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4A7A8F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BA628B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</w:tr>
      <w:tr w14:paraId="1CA84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2DE1A7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14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B1C5EC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在建项目存量●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C76A98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□增加 □持平 □减少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63DCE3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□增加 □持平 □减少</w:t>
            </w:r>
          </w:p>
        </w:tc>
      </w:tr>
      <w:tr w14:paraId="10F13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43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D49BDF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  <w:p w14:paraId="5B0B7CB5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  <w:p w14:paraId="6960BD6F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方正黑体_GBK" w:hAnsi="方正黑体_GBK" w:eastAsia="方正黑体_GBK" w:cs="方正黑体_GBK"/>
                <w:sz w:val="20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8"/>
                <w:szCs w:val="28"/>
                <w:lang w:val="en-US" w:eastAsia="zh-CN" w:bidi="ar-SA"/>
              </w:rPr>
              <w:t>第三部分、成本管控情况调查</w:t>
            </w:r>
          </w:p>
        </w:tc>
      </w:tr>
      <w:tr w14:paraId="310F6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95292B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15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279CBF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管理成本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B49940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3ECBBF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</w:tr>
      <w:tr w14:paraId="29B9D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C8FCCA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16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2EE2B5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融资成本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5987AF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A05ABB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</w:tr>
      <w:tr w14:paraId="420D2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D775CA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17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F914A2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物流成本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59AF20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A843D4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</w:tr>
      <w:tr w14:paraId="2B137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1504A5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18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5E7E74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研发投入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E38676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C46329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</w:tr>
      <w:tr w14:paraId="47F0E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065B50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19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26BB4D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工程机械使用成本●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4C49FB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7304EC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</w:tr>
      <w:tr w14:paraId="00D19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43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68C789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  <w:p w14:paraId="655421D7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eastAsia="方正楷体_GBK"/>
                <w:sz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8"/>
                <w:szCs w:val="28"/>
                <w:lang w:val="en-US" w:eastAsia="zh-CN" w:bidi="ar-SA"/>
              </w:rPr>
              <w:t>第四部分、市场销售情况调查</w:t>
            </w:r>
          </w:p>
        </w:tc>
      </w:tr>
      <w:tr w14:paraId="66BE1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9A4B17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20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88C8CB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订货</w:t>
            </w:r>
            <w:r>
              <w:rPr>
                <w:rFonts w:ascii="Times New Roman" w:eastAsia="方正楷体_GBK"/>
                <w:sz w:val="20"/>
              </w:rPr>
              <w:t>量</w:t>
            </w:r>
            <w:r>
              <w:rPr>
                <w:rFonts w:hint="eastAsia" w:ascii="Times New Roman" w:eastAsia="方正楷体_GBK"/>
                <w:sz w:val="20"/>
              </w:rPr>
              <w:t>▲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3AD64B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□上升 □持平 □下降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AFED86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□上升 □持平 □下降</w:t>
            </w:r>
          </w:p>
        </w:tc>
      </w:tr>
      <w:tr w14:paraId="6B042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972896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21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76564C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新订单数</w:t>
            </w:r>
            <w:r>
              <w:rPr>
                <w:rFonts w:hint="eastAsia" w:ascii="Times New Roman" w:hAnsi="MS Gothic" w:eastAsia="方正楷体_GBK" w:cs="MS Gothic"/>
                <w:sz w:val="20"/>
              </w:rPr>
              <w:t>▮●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3BA8C2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□上升 □持平 □下降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35243F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□上升 □持平 □下降</w:t>
            </w:r>
          </w:p>
        </w:tc>
      </w:tr>
      <w:tr w14:paraId="5A24C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3B8648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22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0973B7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在手订单数</w:t>
            </w:r>
            <w:r>
              <w:rPr>
                <w:rFonts w:hint="eastAsia" w:ascii="Times New Roman" w:hAnsi="MS Gothic" w:eastAsia="方正楷体_GBK" w:cs="MS Gothic"/>
                <w:sz w:val="20"/>
              </w:rPr>
              <w:t>▮</w:t>
            </w:r>
            <w:r>
              <w:rPr>
                <w:rFonts w:hint="eastAsia" w:ascii="Times New Roman" w:eastAsia="方正楷体_GBK"/>
                <w:sz w:val="20"/>
              </w:rPr>
              <w:t>●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E654B6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□上升 □持平 □下降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AB4482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□上升 □持平 □下降</w:t>
            </w:r>
          </w:p>
        </w:tc>
      </w:tr>
      <w:tr w14:paraId="114CB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11BE87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23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39F3B3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产品（服务）销售价格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FA2F25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□上升 □持平 □下降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6006CB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□上升 □持平 □下降</w:t>
            </w:r>
          </w:p>
        </w:tc>
      </w:tr>
      <w:tr w14:paraId="71E77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E243C4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24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CD8E6A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主营业务收入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71F3F3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100E9E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</w:tr>
      <w:tr w14:paraId="34009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6C59E5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25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9DFF6D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利润总额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E0A8D2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448A6D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</w:tr>
      <w:tr w14:paraId="16BE0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43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D06CD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20"/>
                <w:lang w:val="en-US" w:eastAsia="zh-CN"/>
              </w:rPr>
            </w:pPr>
          </w:p>
          <w:p w14:paraId="2C371E8A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eastAsia="方正楷体_GBK"/>
                <w:sz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8"/>
                <w:szCs w:val="28"/>
                <w:lang w:val="en-US" w:eastAsia="zh-CN" w:bidi="ar-SA"/>
              </w:rPr>
              <w:t>第五部分、周转效率情况调查</w:t>
            </w:r>
          </w:p>
        </w:tc>
      </w:tr>
      <w:tr w14:paraId="0F71B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DEEEFB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26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608229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产成品占用资金规模▲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923697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□变大 □持平 □变小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B70CD3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□变大 □持平 □变小</w:t>
            </w:r>
          </w:p>
        </w:tc>
      </w:tr>
      <w:tr w14:paraId="0CA5D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2638D3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27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B4C302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应收账款到期回款率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669D92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□变大 □持平 □变小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828FA4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□变大 □持平 □变小</w:t>
            </w:r>
          </w:p>
        </w:tc>
      </w:tr>
      <w:tr w14:paraId="7DC0B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1F1E89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28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DBCF27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存货周转率▲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7A6BA6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FC1831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</w:tr>
      <w:tr w14:paraId="29EEF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6696CC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eastAsia="方正楷体_GBK"/>
                <w:sz w:val="20"/>
                <w:lang w:val="en-US" w:eastAsia="zh-CN"/>
              </w:rPr>
            </w:pPr>
            <w:r>
              <w:rPr>
                <w:rFonts w:hint="eastAsia" w:ascii="Times New Roman" w:eastAsia="方正楷体_GBK"/>
                <w:sz w:val="20"/>
                <w:lang w:val="en-US" w:eastAsia="zh-CN"/>
              </w:rPr>
              <w:t>29</w:t>
            </w:r>
          </w:p>
        </w:tc>
        <w:tc>
          <w:tcPr>
            <w:tcW w:w="302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B7E4E1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流动资金周转率</w:t>
            </w:r>
          </w:p>
        </w:tc>
        <w:tc>
          <w:tcPr>
            <w:tcW w:w="25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C47CFF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  <w:tc>
          <w:tcPr>
            <w:tcW w:w="25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E3636E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方正楷体_GBK"/>
                <w:sz w:val="20"/>
              </w:rPr>
            </w:pPr>
            <w:r>
              <w:rPr>
                <w:rFonts w:hint="eastAsia" w:ascii="Times New Roman" w:eastAsia="方正楷体_GBK"/>
                <w:sz w:val="20"/>
              </w:rPr>
              <w:t>□提高 □持平 □降低</w:t>
            </w:r>
          </w:p>
        </w:tc>
      </w:tr>
      <w:tr w14:paraId="26864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43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4D8566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  <w:p w14:paraId="792834FE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eastAsia="方正楷体_GBK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8"/>
                <w:szCs w:val="28"/>
                <w:lang w:val="en-US" w:eastAsia="zh-CN" w:bidi="ar-SA"/>
              </w:rPr>
              <w:t>六、投资情况调查</w:t>
            </w:r>
          </w:p>
        </w:tc>
      </w:tr>
      <w:tr w14:paraId="308EC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86" w:type="dxa"/>
          <w:trHeight w:val="0" w:hRule="atLeast"/>
          <w:jc w:val="center"/>
        </w:trPr>
        <w:tc>
          <w:tcPr>
            <w:tcW w:w="229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F5ABB8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rPr>
                <w:sz w:val="20"/>
              </w:rPr>
            </w:pPr>
            <w:r>
              <w:rPr>
                <w:rFonts w:hint="eastAsia"/>
                <w:sz w:val="20"/>
              </w:rPr>
              <w:t>有无投资打算</w:t>
            </w:r>
          </w:p>
        </w:tc>
        <w:tc>
          <w:tcPr>
            <w:tcW w:w="536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EB7EAA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</w:pPr>
            <w:r>
              <w:rPr>
                <w:rFonts w:hint="eastAsia"/>
              </w:rPr>
              <w:t>□有 □无</w:t>
            </w:r>
          </w:p>
        </w:tc>
      </w:tr>
      <w:tr w14:paraId="6698E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86" w:type="dxa"/>
          <w:trHeight w:val="0" w:hRule="atLeast"/>
          <w:jc w:val="center"/>
        </w:trPr>
        <w:tc>
          <w:tcPr>
            <w:tcW w:w="229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BE7DBB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rPr>
                <w:sz w:val="20"/>
              </w:rPr>
            </w:pPr>
            <w:r>
              <w:rPr>
                <w:rFonts w:hint="eastAsia"/>
                <w:sz w:val="20"/>
              </w:rPr>
              <w:t>主要投资方向</w:t>
            </w:r>
          </w:p>
          <w:p w14:paraId="0A96145B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rPr>
                <w:sz w:val="20"/>
              </w:rPr>
            </w:pPr>
            <w:r>
              <w:rPr>
                <w:rFonts w:hint="eastAsia"/>
                <w:sz w:val="20"/>
              </w:rPr>
              <w:t>（有投资则选）</w:t>
            </w:r>
          </w:p>
        </w:tc>
        <w:tc>
          <w:tcPr>
            <w:tcW w:w="536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3215B1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rPr>
                <w:rFonts w:hint="eastAsia"/>
              </w:rPr>
              <w:t xml:space="preserve">□ 传统产业  □ 战略性新兴产业  □ 未来产业  </w:t>
            </w:r>
          </w:p>
          <w:p w14:paraId="38EB85CB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rPr>
                <w:rFonts w:hint="eastAsia"/>
              </w:rPr>
              <w:t>□ 生产性服务业 □ 生活性服务业 □ 现代基础设施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□ 其他（请注明：____）</w:t>
            </w:r>
          </w:p>
        </w:tc>
      </w:tr>
      <w:tr w14:paraId="5D0CE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86" w:type="dxa"/>
          <w:trHeight w:val="0" w:hRule="atLeast"/>
          <w:jc w:val="center"/>
        </w:trPr>
        <w:tc>
          <w:tcPr>
            <w:tcW w:w="229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1D8E08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rPr>
                <w:sz w:val="20"/>
              </w:rPr>
            </w:pPr>
            <w:r>
              <w:rPr>
                <w:rFonts w:hint="eastAsia"/>
                <w:sz w:val="20"/>
              </w:rPr>
              <w:t>主要原因</w:t>
            </w:r>
          </w:p>
          <w:p w14:paraId="0A0B0003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rPr>
                <w:sz w:val="20"/>
              </w:rPr>
            </w:pPr>
            <w:r>
              <w:rPr>
                <w:rFonts w:hint="eastAsia"/>
                <w:sz w:val="20"/>
              </w:rPr>
              <w:t>（无投资则选）</w:t>
            </w:r>
          </w:p>
        </w:tc>
        <w:tc>
          <w:tcPr>
            <w:tcW w:w="536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C5880C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□ 资金保障不足  □ 投资方向不准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□ 宏观环境不稳  □ 市场需求不旺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□ 行业竞争不利  □ 政策预期不明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□ 项目收益不高  □ 风险把控不易</w:t>
            </w:r>
          </w:p>
          <w:p w14:paraId="5AC56B9F">
            <w:pPr>
              <w:pStyle w:val="11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rPr>
                <w:rFonts w:hint="eastAsia"/>
              </w:rPr>
              <w:t>□ 其他（请注明：____）</w:t>
            </w:r>
          </w:p>
        </w:tc>
      </w:tr>
    </w:tbl>
    <w:p w14:paraId="7A7F4599">
      <w:pPr>
        <w:spacing w:line="240" w:lineRule="auto"/>
        <w:ind w:firstLine="420"/>
        <w:rPr>
          <w:rFonts w:hint="eastAsia" w:ascii="方正楷体_GBK" w:hAnsi="方正楷体_GBK" w:eastAsia="方正楷体_GBK" w:cs="方正楷体_GBK"/>
          <w:sz w:val="21"/>
          <w:szCs w:val="18"/>
        </w:rPr>
      </w:pPr>
      <w:r>
        <w:rPr>
          <w:rFonts w:hint="eastAsia" w:ascii="方正楷体_GBK" w:hAnsi="方正楷体_GBK" w:eastAsia="方正楷体_GBK" w:cs="方正楷体_GBK"/>
          <w:sz w:val="21"/>
          <w:szCs w:val="18"/>
        </w:rPr>
        <w:t>注：▲表示工业企业填写问题，</w:t>
      </w:r>
      <w:r>
        <w:rPr>
          <w:rFonts w:hint="eastAsia"/>
          <w:sz w:val="20"/>
        </w:rPr>
        <w:t>▮</w:t>
      </w:r>
      <w:r>
        <w:rPr>
          <w:rFonts w:hint="eastAsia" w:ascii="方正楷体_GBK" w:hAnsi="方正楷体_GBK" w:eastAsia="方正楷体_GBK" w:cs="方正楷体_GBK"/>
          <w:sz w:val="21"/>
          <w:szCs w:val="18"/>
        </w:rPr>
        <w:t>表示服务业企业填写问题，●表示建筑业企业填写问题，未标注</w:t>
      </w:r>
      <w:r>
        <w:rPr>
          <w:rFonts w:ascii="方正楷体_GBK" w:hAnsi="方正楷体_GBK" w:eastAsia="方正楷体_GBK" w:cs="方正楷体_GBK"/>
          <w:sz w:val="21"/>
          <w:szCs w:val="18"/>
        </w:rPr>
        <w:t>表示</w:t>
      </w:r>
      <w:r>
        <w:rPr>
          <w:rFonts w:hint="eastAsia" w:ascii="方正楷体_GBK" w:hAnsi="方正楷体_GBK" w:eastAsia="方正楷体_GBK" w:cs="方正楷体_GBK"/>
          <w:sz w:val="21"/>
          <w:szCs w:val="18"/>
        </w:rPr>
        <w:t>通用问题。</w:t>
      </w:r>
    </w:p>
    <w:p w14:paraId="61699E06">
      <w:pPr>
        <w:spacing w:line="240" w:lineRule="auto"/>
        <w:ind w:firstLine="420"/>
        <w:rPr>
          <w:rFonts w:hint="eastAsia" w:ascii="方正楷体_GBK" w:hAnsi="方正楷体_GBK" w:eastAsia="方正楷体_GBK" w:cs="方正楷体_GBK"/>
          <w:sz w:val="21"/>
          <w:szCs w:val="18"/>
        </w:rPr>
      </w:pPr>
    </w:p>
    <w:p w14:paraId="6414E110">
      <w:pPr>
        <w:spacing w:line="240" w:lineRule="auto"/>
        <w:ind w:firstLine="420"/>
        <w:rPr>
          <w:rFonts w:hint="eastAsia" w:ascii="方正楷体_GBK" w:hAnsi="方正楷体_GBK" w:eastAsia="方正楷体_GBK" w:cs="方正楷体_GBK"/>
          <w:sz w:val="21"/>
          <w:szCs w:val="18"/>
        </w:rPr>
      </w:pPr>
    </w:p>
    <w:p w14:paraId="1D8A6BE6">
      <w:pPr>
        <w:pStyle w:val="2"/>
        <w:bidi w:val="0"/>
        <w:rPr>
          <w:rFonts w:hint="eastAsia"/>
        </w:rPr>
      </w:pPr>
      <w:r>
        <w:rPr>
          <w:rFonts w:hint="eastAsia"/>
        </w:rPr>
        <w:t>指标解释</w:t>
      </w:r>
    </w:p>
    <w:p w14:paraId="589CD542">
      <w:pPr>
        <w:rPr>
          <w:rFonts w:hint="eastAsia"/>
        </w:rPr>
      </w:pPr>
    </w:p>
    <w:p w14:paraId="63640972">
      <w:pPr>
        <w:pStyle w:val="3"/>
        <w:bidi w:val="0"/>
        <w:rPr>
          <w:rFonts w:hint="eastAsia"/>
        </w:rPr>
      </w:pPr>
      <w:r>
        <w:rPr>
          <w:rFonts w:hint="eastAsia"/>
        </w:rPr>
        <w:t>一、发展环境</w:t>
      </w:r>
    </w:p>
    <w:p w14:paraId="4B2C7A4F">
      <w:pPr>
        <w:rPr>
          <w:rFonts w:hint="eastAsia"/>
        </w:rPr>
      </w:pPr>
      <w:r>
        <w:rPr>
          <w:rFonts w:hint="eastAsia"/>
        </w:rPr>
        <w:t>1. 国际环境：指企业本季度经营面临的海外宏观经济、国际贸易壁垒、海外供应链、汇率、境外产业政策等综合外部环境，企业对比上一季度整体形势，选择变好、持平或变差。</w:t>
      </w:r>
    </w:p>
    <w:p w14:paraId="558F0B33">
      <w:pPr>
        <w:rPr>
          <w:rFonts w:hint="eastAsia"/>
        </w:rPr>
      </w:pPr>
      <w:r>
        <w:rPr>
          <w:rFonts w:hint="eastAsia"/>
        </w:rPr>
        <w:t>2. 行业景气度：指企业所属行业整体市场需求、行业盈利水平、行业扩产开工等综合景气状态，对比上季度判断景气程度变化趋势。</w:t>
      </w:r>
    </w:p>
    <w:p w14:paraId="07F18444">
      <w:pPr>
        <w:rPr>
          <w:rFonts w:hint="eastAsia"/>
        </w:rPr>
      </w:pPr>
      <w:r>
        <w:rPr>
          <w:rFonts w:hint="eastAsia"/>
        </w:rPr>
        <w:t>3. 营商环境满意度：指企业对本地政务服务、产业政策扶持、要素供给保障、市场监管、办事便利度等营商配套条件的综合满意程度，对比上季度判断满意度上升、持平或下降。</w:t>
      </w:r>
    </w:p>
    <w:p w14:paraId="62D254E9">
      <w:pPr>
        <w:pStyle w:val="3"/>
        <w:bidi w:val="0"/>
        <w:rPr>
          <w:rFonts w:hint="eastAsia"/>
        </w:rPr>
      </w:pPr>
      <w:r>
        <w:rPr>
          <w:rFonts w:hint="eastAsia"/>
        </w:rPr>
        <w:t>二、生产经营</w:t>
      </w:r>
    </w:p>
    <w:p w14:paraId="136554F6">
      <w:pPr>
        <w:rPr>
          <w:rFonts w:hint="eastAsia"/>
        </w:rPr>
      </w:pPr>
      <w:r>
        <w:rPr>
          <w:rFonts w:hint="eastAsia"/>
        </w:rPr>
        <w:t>4. 产品产量（工业企业专用）：工业企业报告季度内全部主营产品实际产出总量，与上季度对比，判定产量提高、持平或降低。</w:t>
      </w:r>
    </w:p>
    <w:p w14:paraId="6E26D20B">
      <w:pPr>
        <w:rPr>
          <w:rFonts w:hint="eastAsia"/>
        </w:rPr>
      </w:pPr>
      <w:r>
        <w:rPr>
          <w:rFonts w:hint="eastAsia"/>
        </w:rPr>
        <w:t>5. 施工项目总量（建筑业企业专用）：建筑业企业本季度全部工程项目</w:t>
      </w:r>
      <w:r>
        <w:rPr>
          <w:rFonts w:hint="eastAsia"/>
          <w:lang w:val="en-US" w:eastAsia="zh-CN"/>
        </w:rPr>
        <w:t>总</w:t>
      </w:r>
      <w:r>
        <w:rPr>
          <w:rFonts w:hint="eastAsia"/>
        </w:rPr>
        <w:t>规模，对比上季度判断总量提高、持平或降低。</w:t>
      </w:r>
    </w:p>
    <w:p w14:paraId="2FCFF309">
      <w:pPr>
        <w:rPr>
          <w:rFonts w:hint="eastAsia"/>
        </w:rPr>
      </w:pPr>
      <w:r>
        <w:rPr>
          <w:rFonts w:hint="eastAsia"/>
        </w:rPr>
        <w:t>6. 用工人数：报告期末企业在岗全部从业人员总规模，包含正式职工、劳务派遣人员、临时用工，对比上季度判断人数上升、持平或下降。</w:t>
      </w:r>
    </w:p>
    <w:p w14:paraId="5838CE4A">
      <w:pPr>
        <w:rPr>
          <w:rFonts w:hint="eastAsia"/>
        </w:rPr>
      </w:pPr>
      <w:r>
        <w:rPr>
          <w:rFonts w:hint="eastAsia"/>
        </w:rPr>
        <w:t>7. 原材料购进价格（工业、建筑业企业专用）：工业生产原料、建筑主材及辅材的综合采购平均单价，对比上季度判断价格上升、持平或下降。</w:t>
      </w:r>
    </w:p>
    <w:p w14:paraId="73A48860">
      <w:pPr>
        <w:rPr>
          <w:rFonts w:hint="eastAsia"/>
        </w:rPr>
      </w:pPr>
      <w:r>
        <w:rPr>
          <w:rFonts w:hint="eastAsia"/>
        </w:rPr>
        <w:t>8. 能源购进价格（工业企业专用）：企业生产耗用电力、煤炭、天然气、燃油等各类能源采购均价，对比上季度判断价格变动趋势。</w:t>
      </w:r>
    </w:p>
    <w:p w14:paraId="5FDAD97C">
      <w:pPr>
        <w:rPr>
          <w:rFonts w:hint="eastAsia"/>
        </w:rPr>
      </w:pPr>
      <w:r>
        <w:rPr>
          <w:rFonts w:hint="eastAsia"/>
        </w:rPr>
        <w:t>9. 购置商品（或服务）价格（服务业企业专用）：服务业企业经营采购外包服务、经营耗材、配套商品的综合采购单价，对比上季度判断价格上升、持平或下降。</w:t>
      </w:r>
    </w:p>
    <w:p w14:paraId="78095B0D">
      <w:pPr>
        <w:rPr>
          <w:rFonts w:hint="eastAsia"/>
        </w:rPr>
      </w:pPr>
      <w:r>
        <w:rPr>
          <w:rFonts w:hint="eastAsia"/>
        </w:rPr>
        <w:t>10. 产能利用率（工业企业专用）：工业企业当期实际产出与企业长期稳定标准生产能力的比值，反映生产线开工饱和程度，对比上季度判断利用率提高、持平或降低。</w:t>
      </w:r>
    </w:p>
    <w:p w14:paraId="0E719E96">
      <w:pPr>
        <w:rPr>
          <w:rFonts w:hint="eastAsia"/>
        </w:rPr>
      </w:pPr>
      <w:r>
        <w:rPr>
          <w:rFonts w:hint="eastAsia"/>
        </w:rPr>
        <w:t>11. 供应商交付时间：上游原材料、配套服务供应商整体供货周期长短，对比上季度判断交付时间缩短、持平或延长。</w:t>
      </w:r>
    </w:p>
    <w:p w14:paraId="6FF70D74">
      <w:pPr>
        <w:rPr>
          <w:rFonts w:hint="eastAsia"/>
        </w:rPr>
      </w:pPr>
      <w:r>
        <w:rPr>
          <w:rFonts w:hint="eastAsia"/>
        </w:rPr>
        <w:t>12. 供应链稳定性（工业企业专用）：企业上游原料供应、下游配套协作、物流运输全链条持续稳定程度，对比上季度判断稳定性提高、持平或降低。</w:t>
      </w:r>
    </w:p>
    <w:p w14:paraId="7A286A98">
      <w:pPr>
        <w:rPr>
          <w:rFonts w:hint="eastAsia"/>
        </w:rPr>
      </w:pPr>
      <w:r>
        <w:rPr>
          <w:rFonts w:hint="eastAsia"/>
        </w:rPr>
        <w:t>13. 项目施工负荷率（建筑业企业专用）：建筑项目当期实际投入人力、设备、工期占项目满负荷施工标准的比重，体现项目施工饱满程度，对比上季度判断负荷率变化。</w:t>
      </w:r>
    </w:p>
    <w:p w14:paraId="182769EC">
      <w:pPr>
        <w:rPr>
          <w:rFonts w:hint="eastAsia"/>
        </w:rPr>
      </w:pPr>
      <w:r>
        <w:rPr>
          <w:rFonts w:hint="eastAsia"/>
        </w:rPr>
        <w:t>14. 在建项目存量（建筑业企业专用）：建筑业企业本季度期末尚未完工、持续推进的工程项目总规模，对比上季度判断存量增加、持平或减少。</w:t>
      </w:r>
    </w:p>
    <w:p w14:paraId="2ECB97CE">
      <w:pPr>
        <w:pStyle w:val="3"/>
        <w:bidi w:val="0"/>
        <w:rPr>
          <w:rFonts w:hint="eastAsia"/>
        </w:rPr>
      </w:pPr>
      <w:r>
        <w:rPr>
          <w:rFonts w:hint="eastAsia"/>
        </w:rPr>
        <w:t>三、成本管控</w:t>
      </w:r>
    </w:p>
    <w:p w14:paraId="4947556F">
      <w:pPr>
        <w:rPr>
          <w:rFonts w:hint="eastAsia"/>
        </w:rPr>
      </w:pPr>
      <w:r>
        <w:rPr>
          <w:rFonts w:hint="eastAsia"/>
        </w:rPr>
        <w:t>15. 管理成本：企业为组织、统筹生产经营活动发生的行政办公、人员管理、场地租赁、办公耗材等全部管理类支出，对比上季度判断成本提高、持平或降低。</w:t>
      </w:r>
    </w:p>
    <w:p w14:paraId="71CA1FFD">
      <w:pPr>
        <w:rPr>
          <w:rFonts w:hint="eastAsia"/>
        </w:rPr>
      </w:pPr>
      <w:r>
        <w:rPr>
          <w:rFonts w:hint="eastAsia"/>
        </w:rPr>
        <w:t>16. 融资成本：企业各类贷款、票据、债券、民间融资产生的利息、担保费、手续费等综合资金成本，对比上季度判断成本变动趋势。</w:t>
      </w:r>
    </w:p>
    <w:p w14:paraId="7E02B608">
      <w:pPr>
        <w:rPr>
          <w:rFonts w:hint="eastAsia"/>
        </w:rPr>
      </w:pPr>
      <w:r>
        <w:rPr>
          <w:rFonts w:hint="eastAsia"/>
        </w:rPr>
        <w:t>17. 物流成本：企业原材料仓储运输、产成品配送、装卸、仓储保管产生的全部物流相关费用，对比上季度判断成本提高、持平或降低。</w:t>
      </w:r>
    </w:p>
    <w:p w14:paraId="67B4F0C3">
      <w:pPr>
        <w:rPr>
          <w:rFonts w:hint="eastAsia"/>
        </w:rPr>
      </w:pPr>
      <w:r>
        <w:rPr>
          <w:rFonts w:hint="eastAsia"/>
        </w:rPr>
        <w:t>18. 研发投入：企业本季度用于新产品、新技术、新工艺、服务升级的研发设备、研发人员薪酬、试验耗材、技术合作等全部资金投入，对比上季度判断投入规模变化。</w:t>
      </w:r>
    </w:p>
    <w:p w14:paraId="39152AB2">
      <w:pPr>
        <w:rPr>
          <w:rFonts w:hint="eastAsia"/>
        </w:rPr>
      </w:pPr>
      <w:r>
        <w:rPr>
          <w:rFonts w:hint="eastAsia"/>
        </w:rPr>
        <w:t>19. 工程机械使用成本（建筑业企业专用）：建筑施工自有及租赁机械设备产生的租赁费、燃油费、维修保养费、设备折旧等综合使用支出，对比上季度判断成本提高、持平或降低。</w:t>
      </w:r>
    </w:p>
    <w:p w14:paraId="70DE8E8B">
      <w:pPr>
        <w:pStyle w:val="3"/>
        <w:bidi w:val="0"/>
        <w:rPr>
          <w:rFonts w:hint="eastAsia"/>
        </w:rPr>
      </w:pPr>
      <w:r>
        <w:rPr>
          <w:rFonts w:hint="eastAsia"/>
        </w:rPr>
        <w:t>四、市场</w:t>
      </w:r>
      <w:r>
        <w:rPr>
          <w:rStyle w:val="22"/>
          <w:rFonts w:hint="eastAsia"/>
          <w:bCs/>
        </w:rPr>
        <w:t>销售</w:t>
      </w:r>
    </w:p>
    <w:p w14:paraId="04E68979">
      <w:pPr>
        <w:rPr>
          <w:rFonts w:hint="eastAsia"/>
        </w:rPr>
      </w:pPr>
      <w:r>
        <w:rPr>
          <w:rFonts w:hint="eastAsia"/>
        </w:rPr>
        <w:t>20. 订货量（工业企业专用）：工业企业本季度与下游客户签订的全部产品订单总量，对比上季度判断订货规模上升、持平或下降。</w:t>
      </w:r>
    </w:p>
    <w:p w14:paraId="7897D116">
      <w:pPr>
        <w:rPr>
          <w:rFonts w:hint="eastAsia"/>
        </w:rPr>
      </w:pPr>
      <w:r>
        <w:rPr>
          <w:rFonts w:hint="eastAsia"/>
        </w:rPr>
        <w:t>21. 新订单数（服务业、建筑业企业专用）：服务业当期新增服务合同、建筑业当期新签工程项目订单数量，对比上季度判断订单数量变化。</w:t>
      </w:r>
    </w:p>
    <w:p w14:paraId="174A000B">
      <w:pPr>
        <w:rPr>
          <w:rFonts w:hint="eastAsia"/>
        </w:rPr>
      </w:pPr>
      <w:r>
        <w:rPr>
          <w:rFonts w:hint="eastAsia"/>
        </w:rPr>
        <w:t>22. 在手订单数（服务业、建筑业企业专用）：报告期末企业已签约但尚未履约交付的存量订单</w:t>
      </w:r>
      <w:r>
        <w:rPr>
          <w:rFonts w:hint="eastAsia"/>
          <w:lang w:val="en-US" w:eastAsia="zh-CN"/>
        </w:rPr>
        <w:t>数量</w:t>
      </w:r>
      <w:r>
        <w:rPr>
          <w:rFonts w:hint="eastAsia"/>
        </w:rPr>
        <w:t>，对比上季度判断存量增减。</w:t>
      </w:r>
    </w:p>
    <w:p w14:paraId="70F19BAE">
      <w:pPr>
        <w:rPr>
          <w:rFonts w:hint="eastAsia"/>
        </w:rPr>
      </w:pPr>
      <w:r>
        <w:rPr>
          <w:rFonts w:hint="eastAsia"/>
        </w:rPr>
        <w:t>23. 产品（服务）销售价格：企业对外售卖产品、提供主营业务服务的平均成交单价，不含各类折扣、折让，对比上季度判断售价上升、持平或下降。</w:t>
      </w:r>
    </w:p>
    <w:p w14:paraId="089E3AB3">
      <w:pPr>
        <w:rPr>
          <w:rFonts w:hint="eastAsia"/>
        </w:rPr>
      </w:pPr>
      <w:r>
        <w:rPr>
          <w:rFonts w:hint="eastAsia"/>
        </w:rPr>
        <w:t>24. 主营业务收入：企业本季度开展核心经营业务取得的全部营业收入，不含副业零星其他收入，对比上季度判断收入提高、持平或降低。</w:t>
      </w:r>
    </w:p>
    <w:p w14:paraId="326440E7">
      <w:pPr>
        <w:rPr>
          <w:rFonts w:hint="eastAsia"/>
        </w:rPr>
      </w:pPr>
      <w:r>
        <w:rPr>
          <w:rFonts w:hint="eastAsia"/>
        </w:rPr>
        <w:t>25. 利润总额：企业本季度全部营业收入扣除各项成本、税费及营业外收支后的税前盈利总额，出现亏损则视为规模降低，对比上季度判断盈利规模变化。</w:t>
      </w:r>
    </w:p>
    <w:p w14:paraId="51FB5143">
      <w:pPr>
        <w:pStyle w:val="3"/>
        <w:bidi w:val="0"/>
        <w:rPr>
          <w:rFonts w:hint="eastAsia"/>
        </w:rPr>
      </w:pPr>
      <w:r>
        <w:rPr>
          <w:rFonts w:hint="eastAsia"/>
        </w:rPr>
        <w:t>五、周转效率</w:t>
      </w:r>
    </w:p>
    <w:p w14:paraId="1A4698B2">
      <w:pPr>
        <w:rPr>
          <w:rFonts w:hint="eastAsia"/>
        </w:rPr>
      </w:pPr>
      <w:r>
        <w:rPr>
          <w:rFonts w:hint="eastAsia"/>
        </w:rPr>
        <w:t>26. 产成品占用资金规模（工业企业专用）：工业企业库存产成品对应的资金占用总额，反映成品库存资金沉淀规模，对比上季度判断规模变大、持平或变小。</w:t>
      </w:r>
    </w:p>
    <w:p w14:paraId="6A5611CC">
      <w:pPr>
        <w:rPr>
          <w:rFonts w:hint="eastAsia"/>
        </w:rPr>
      </w:pPr>
      <w:r>
        <w:rPr>
          <w:rFonts w:hint="eastAsia"/>
        </w:rPr>
        <w:t>27. 应收账款到期回款率：当期到期应收款项中实际收回资金占全部到期应收款的比重，体现企业资金回款能力，对比上季度判断回款率变大、持平或变小。</w:t>
      </w:r>
    </w:p>
    <w:p w14:paraId="2CC74370">
      <w:pPr>
        <w:rPr>
          <w:rFonts w:hint="eastAsia"/>
        </w:rPr>
      </w:pPr>
      <w:r>
        <w:rPr>
          <w:rFonts w:hint="eastAsia"/>
        </w:rPr>
        <w:t>28. 存货周转率（工业企业专用）：工业企业当期营业成本与平均存货余额的比值，数值越高代表库存变现速度越快，对比上季度判断周转率提高、持平或降低。</w:t>
      </w:r>
    </w:p>
    <w:p w14:paraId="55A41F0D">
      <w:pPr>
        <w:rPr>
          <w:rFonts w:hint="eastAsia"/>
        </w:rPr>
      </w:pPr>
      <w:r>
        <w:rPr>
          <w:rFonts w:hint="eastAsia"/>
        </w:rPr>
        <w:t>29. 流动资金周转率：企业营业收入与平均流动资金余额的比值，反映流动资金使用效率，数值越高资金利用效率越好，对比上季度判断周转速度变化。</w:t>
      </w:r>
    </w:p>
    <w:p w14:paraId="7DE1E8D0">
      <w:pPr>
        <w:pStyle w:val="3"/>
        <w:bidi w:val="0"/>
        <w:rPr>
          <w:rFonts w:hint="eastAsia"/>
        </w:rPr>
      </w:pPr>
      <w:r>
        <w:rPr>
          <w:rFonts w:hint="eastAsia"/>
        </w:rPr>
        <w:t>六、投资预期</w:t>
      </w:r>
    </w:p>
    <w:p w14:paraId="7104FF4B">
      <w:pPr>
        <w:rPr>
          <w:rFonts w:hint="eastAsia"/>
        </w:rPr>
      </w:pPr>
      <w:r>
        <w:rPr>
          <w:rFonts w:hint="eastAsia"/>
        </w:rPr>
        <w:t>30. 有无投资打算：企业预判下季度是否计划开展设备购置、厂房扩建、新项目建设、数字化改造等固定资产类资本投资，分为有、无两类选项。</w:t>
      </w:r>
    </w:p>
    <w:p w14:paraId="33B542CA">
      <w:pPr>
        <w:rPr>
          <w:rFonts w:hint="eastAsia"/>
        </w:rPr>
      </w:pPr>
      <w:r>
        <w:rPr>
          <w:rFonts w:hint="eastAsia"/>
        </w:rPr>
        <w:t>31. 主要投资方向（有投资</w:t>
      </w:r>
      <w:r>
        <w:rPr>
          <w:rFonts w:hint="eastAsia"/>
          <w:lang w:val="en-US" w:eastAsia="zh-CN"/>
        </w:rPr>
        <w:t>打算</w:t>
      </w:r>
      <w:r>
        <w:rPr>
          <w:rFonts w:hint="eastAsia"/>
        </w:rPr>
        <w:t>企业填写）：企业规划投资所属产业赛道，细分释义：</w:t>
      </w:r>
    </w:p>
    <w:p w14:paraId="62DDB2DD">
      <w:pPr>
        <w:rPr>
          <w:rFonts w:hint="eastAsia"/>
        </w:rPr>
      </w:pPr>
      <w:r>
        <w:rPr>
          <w:rFonts w:hint="eastAsia"/>
        </w:rPr>
        <w:t>（1）传统产业：纺织、基础化工、普通机械加工、传统线下商贸等成熟常规产业；</w:t>
      </w:r>
    </w:p>
    <w:p w14:paraId="3E3B0A25">
      <w:pPr>
        <w:rPr>
          <w:rFonts w:hint="eastAsia"/>
        </w:rPr>
      </w:pPr>
      <w:r>
        <w:rPr>
          <w:rFonts w:hint="eastAsia"/>
        </w:rPr>
        <w:t>（2）战略性新兴产业：高端装备、新能源、新材料、生物医药、节能环保、数字核心产业等国家重点扶持产业；</w:t>
      </w:r>
    </w:p>
    <w:p w14:paraId="29C86D33">
      <w:pPr>
        <w:rPr>
          <w:rFonts w:hint="eastAsia"/>
        </w:rPr>
      </w:pPr>
      <w:r>
        <w:rPr>
          <w:rFonts w:hint="eastAsia"/>
        </w:rPr>
        <w:t>（3）未来产业：人工智能、量子信息、深海空天开发、生物制造等前沿前瞻产业；</w:t>
      </w:r>
    </w:p>
    <w:p w14:paraId="0DC01ADD">
      <w:pPr>
        <w:rPr>
          <w:rFonts w:hint="eastAsia"/>
        </w:rPr>
      </w:pPr>
      <w:r>
        <w:rPr>
          <w:rFonts w:hint="eastAsia"/>
        </w:rPr>
        <w:t>（4）生产性服务业：现代物流、研发设计、检验检测、商务咨询、产业园区运营等服务实体经济的服务业；</w:t>
      </w:r>
    </w:p>
    <w:p w14:paraId="278C9E7E">
      <w:pPr>
        <w:rPr>
          <w:rFonts w:hint="eastAsia"/>
        </w:rPr>
      </w:pPr>
      <w:r>
        <w:rPr>
          <w:rFonts w:hint="eastAsia"/>
        </w:rPr>
        <w:t>（5）生活性服务业：文旅、餐饮住宿、家政、康养、零售等面向居民消费的服务业；</w:t>
      </w:r>
    </w:p>
    <w:p w14:paraId="3829329E">
      <w:pPr>
        <w:rPr>
          <w:rFonts w:hint="eastAsia"/>
        </w:rPr>
      </w:pPr>
      <w:r>
        <w:rPr>
          <w:rFonts w:hint="eastAsia"/>
        </w:rPr>
        <w:t>（6）现代基础设施：交通、能源、算力中心、水利、新型市政等基建项目；</w:t>
      </w:r>
    </w:p>
    <w:p w14:paraId="1DD8BD1F">
      <w:pPr>
        <w:rPr>
          <w:rFonts w:hint="eastAsia"/>
        </w:rPr>
      </w:pPr>
      <w:r>
        <w:rPr>
          <w:rFonts w:hint="eastAsia"/>
        </w:rPr>
        <w:t>（7）其他：不属于上述分类的投资，需手动注明具体投向。</w:t>
      </w:r>
    </w:p>
    <w:p w14:paraId="61443EB0">
      <w:pPr>
        <w:rPr>
          <w:rFonts w:hint="eastAsia"/>
        </w:rPr>
      </w:pPr>
      <w:r>
        <w:rPr>
          <w:rFonts w:hint="eastAsia"/>
        </w:rPr>
        <w:t>32. 无投资主要原因（无投资</w:t>
      </w:r>
      <w:r>
        <w:rPr>
          <w:rFonts w:hint="eastAsia"/>
          <w:lang w:val="en-US" w:eastAsia="zh-CN"/>
        </w:rPr>
        <w:t>打算</w:t>
      </w:r>
      <w:r>
        <w:rPr>
          <w:rFonts w:hint="eastAsia"/>
        </w:rPr>
        <w:t>企业填写）：企业下季度暂缓或不新增投资的制约因素，分项释义：</w:t>
      </w:r>
    </w:p>
    <w:p w14:paraId="7EDEF7B9">
      <w:pPr>
        <w:rPr>
          <w:rFonts w:hint="eastAsia"/>
        </w:rPr>
      </w:pPr>
      <w:r>
        <w:rPr>
          <w:rFonts w:hint="eastAsia"/>
        </w:rPr>
        <w:t>（1）资金保障不足：自有资金短缺、银行信贷额度紧张、融资渠道不畅；</w:t>
      </w:r>
    </w:p>
    <w:p w14:paraId="75B6E3C7">
      <w:pPr>
        <w:rPr>
          <w:rFonts w:hint="eastAsia"/>
        </w:rPr>
      </w:pPr>
      <w:r>
        <w:rPr>
          <w:rFonts w:hint="eastAsia"/>
        </w:rPr>
        <w:t>（2）投资方向不准：未找到契合企业发展、具备落地可行性的优质投资项目；</w:t>
      </w:r>
    </w:p>
    <w:p w14:paraId="4D583AA9">
      <w:pPr>
        <w:rPr>
          <w:rFonts w:hint="eastAsia"/>
        </w:rPr>
      </w:pPr>
      <w:r>
        <w:rPr>
          <w:rFonts w:hint="eastAsia"/>
        </w:rPr>
        <w:t>（3）宏观环境不稳：国内外经济、外贸、宏观调控政策不确定性较强；</w:t>
      </w:r>
    </w:p>
    <w:p w14:paraId="2827B5B9">
      <w:pPr>
        <w:rPr>
          <w:rFonts w:hint="eastAsia"/>
        </w:rPr>
      </w:pPr>
      <w:r>
        <w:rPr>
          <w:rFonts w:hint="eastAsia"/>
        </w:rPr>
        <w:t>（4）市场需求不旺：下游订单、终端消费需求疲软，扩产投资缺少市场支撑；</w:t>
      </w:r>
    </w:p>
    <w:p w14:paraId="11AA1052">
      <w:pPr>
        <w:rPr>
          <w:rFonts w:hint="eastAsia"/>
        </w:rPr>
      </w:pPr>
      <w:r>
        <w:rPr>
          <w:rFonts w:hint="eastAsia"/>
        </w:rPr>
        <w:t>（5）行业竞争不利：行业产能过剩、同行低价内卷，投资收益空间被压缩；</w:t>
      </w:r>
    </w:p>
    <w:p w14:paraId="6ACCC487">
      <w:pPr>
        <w:rPr>
          <w:rFonts w:hint="eastAsia"/>
        </w:rPr>
      </w:pPr>
      <w:r>
        <w:rPr>
          <w:rFonts w:hint="eastAsia"/>
        </w:rPr>
        <w:t>（6）政策预期不明：产业、财税、土地、环保等配套政策尚未清晰；</w:t>
      </w:r>
    </w:p>
    <w:p w14:paraId="47DCD820">
      <w:pPr>
        <w:rPr>
          <w:rFonts w:hint="eastAsia"/>
        </w:rPr>
      </w:pPr>
      <w:r>
        <w:rPr>
          <w:rFonts w:hint="eastAsia"/>
        </w:rPr>
        <w:t>（7）项目收益不高：测算项目投资回报率偏低，回本周期过长；</w:t>
      </w:r>
    </w:p>
    <w:p w14:paraId="40727C94">
      <w:pPr>
        <w:rPr>
          <w:rFonts w:hint="eastAsia"/>
        </w:rPr>
      </w:pPr>
      <w:r>
        <w:rPr>
          <w:rFonts w:hint="eastAsia"/>
        </w:rPr>
        <w:t>（8）风险把控不易：市场、技术、政策、资金等多重投资风险难以管控；</w:t>
      </w:r>
    </w:p>
    <w:p w14:paraId="135E870A">
      <w:r>
        <w:rPr>
          <w:rFonts w:hint="eastAsia"/>
        </w:rPr>
        <w:t>（9）其他：上述类别以外制约投资的因素，需文字自行注明。</w:t>
      </w:r>
    </w:p>
    <w:p w14:paraId="53DFD7D8">
      <w:pPr>
        <w:spacing w:line="240" w:lineRule="auto"/>
        <w:ind w:firstLine="420"/>
        <w:rPr>
          <w:rFonts w:hint="eastAsia" w:ascii="方正楷体_GBK" w:hAnsi="方正楷体_GBK" w:eastAsia="方正楷体_GBK" w:cs="方正楷体_GBK"/>
          <w:sz w:val="21"/>
          <w:szCs w:val="18"/>
        </w:rPr>
      </w:pPr>
    </w:p>
    <w:p w14:paraId="4FD01693">
      <w:pPr>
        <w:spacing w:line="240" w:lineRule="auto"/>
        <w:ind w:firstLine="420"/>
        <w:rPr>
          <w:rFonts w:ascii="方正楷体_GBK" w:hAnsi="方正楷体_GBK" w:eastAsia="方正楷体_GBK" w:cs="方正楷体_GBK"/>
          <w:sz w:val="21"/>
          <w:szCs w:val="18"/>
        </w:rPr>
      </w:pPr>
    </w:p>
    <w:sectPr>
      <w:footerReference r:id="rId5" w:type="default"/>
      <w:pgSz w:w="11906" w:h="16838"/>
      <w:pgMar w:top="2098" w:right="1587" w:bottom="2098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F4BCE">
    <w:pPr>
      <w:pStyle w:val="6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2464435</wp:posOffset>
              </wp:positionH>
              <wp:positionV relativeFrom="paragraph">
                <wp:posOffset>-105410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E8FE4F">
                          <w:pPr>
                            <w:pStyle w:val="6"/>
                            <w:ind w:firstLine="0" w:firstLineChars="0"/>
                            <w:rPr>
                              <w:sz w:val="32"/>
                              <w:szCs w:val="48"/>
                            </w:rPr>
                          </w:pPr>
                          <w:r>
                            <w:rPr>
                              <w:sz w:val="32"/>
                              <w:szCs w:val="48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48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4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48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48"/>
                            </w:rPr>
                            <w:t>1</w:t>
                          </w:r>
                          <w:r>
                            <w:rPr>
                              <w:sz w:val="32"/>
                              <w:szCs w:val="48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4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4.05pt;margin-top:-8.3pt;height:144pt;width:144pt;mso-position-horizontal-relative:margin;mso-wrap-style:none;z-index:251659264;mso-width-relative:page;mso-height-relative:page;" filled="f" stroked="f" coordsize="21600,21600" o:gfxdata="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4Is2ZZ&#10;2Oqd5RE6Kubt6hggYKdrFKVXYtAK09Z1ZngZcZz/3HdRj3+D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6ZK+q2AAAAAsBAAAPAAAAAAAAAAEAIAAAACIAAABkcnMvZG93bnJldi54bWxQSwECFAAU&#10;AAAACACHTuJAjNcOfCoCAABVBAAADgAAAAAAAAABACAAAAAn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E8FE4F">
                    <w:pPr>
                      <w:pStyle w:val="6"/>
                      <w:ind w:firstLine="0" w:firstLineChars="0"/>
                      <w:rPr>
                        <w:sz w:val="32"/>
                        <w:szCs w:val="48"/>
                      </w:rPr>
                    </w:pPr>
                    <w:r>
                      <w:rPr>
                        <w:sz w:val="32"/>
                        <w:szCs w:val="48"/>
                      </w:rPr>
                      <w:t xml:space="preserve">— </w:t>
                    </w:r>
                    <w:r>
                      <w:rPr>
                        <w:sz w:val="32"/>
                        <w:szCs w:val="48"/>
                      </w:rPr>
                      <w:fldChar w:fldCharType="begin"/>
                    </w:r>
                    <w:r>
                      <w:rPr>
                        <w:sz w:val="32"/>
                        <w:szCs w:val="48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48"/>
                      </w:rPr>
                      <w:fldChar w:fldCharType="separate"/>
                    </w:r>
                    <w:r>
                      <w:rPr>
                        <w:sz w:val="32"/>
                        <w:szCs w:val="48"/>
                      </w:rPr>
                      <w:t>1</w:t>
                    </w:r>
                    <w:r>
                      <w:rPr>
                        <w:sz w:val="32"/>
                        <w:szCs w:val="48"/>
                      </w:rPr>
                      <w:fldChar w:fldCharType="end"/>
                    </w:r>
                    <w:r>
                      <w:rPr>
                        <w:sz w:val="32"/>
                        <w:szCs w:val="4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04446E"/>
    <w:rsid w:val="00017519"/>
    <w:rsid w:val="00561835"/>
    <w:rsid w:val="009401C4"/>
    <w:rsid w:val="009B6C34"/>
    <w:rsid w:val="00AA7B93"/>
    <w:rsid w:val="00C31E48"/>
    <w:rsid w:val="00F92596"/>
    <w:rsid w:val="01A52705"/>
    <w:rsid w:val="081C14CE"/>
    <w:rsid w:val="095A6929"/>
    <w:rsid w:val="0B554A1A"/>
    <w:rsid w:val="0BA90CAF"/>
    <w:rsid w:val="0BD72047"/>
    <w:rsid w:val="0D33037C"/>
    <w:rsid w:val="0FA9400D"/>
    <w:rsid w:val="12805405"/>
    <w:rsid w:val="168129A1"/>
    <w:rsid w:val="16FC0EC2"/>
    <w:rsid w:val="170926A1"/>
    <w:rsid w:val="1A04446E"/>
    <w:rsid w:val="1A516514"/>
    <w:rsid w:val="1ABD00F8"/>
    <w:rsid w:val="1F936306"/>
    <w:rsid w:val="22511DC1"/>
    <w:rsid w:val="22CA5962"/>
    <w:rsid w:val="2A9B2FF6"/>
    <w:rsid w:val="2BAF4E2F"/>
    <w:rsid w:val="2EBA0123"/>
    <w:rsid w:val="2F1C7091"/>
    <w:rsid w:val="32A528C2"/>
    <w:rsid w:val="368A369C"/>
    <w:rsid w:val="377F75D3"/>
    <w:rsid w:val="384A3480"/>
    <w:rsid w:val="3E7C7D6E"/>
    <w:rsid w:val="3F422B55"/>
    <w:rsid w:val="404C551E"/>
    <w:rsid w:val="49CB2F9F"/>
    <w:rsid w:val="4A4B6D70"/>
    <w:rsid w:val="540C51F2"/>
    <w:rsid w:val="574216FD"/>
    <w:rsid w:val="5816477C"/>
    <w:rsid w:val="58D520FD"/>
    <w:rsid w:val="59BA2895"/>
    <w:rsid w:val="5B4F21F4"/>
    <w:rsid w:val="5F222DC6"/>
    <w:rsid w:val="641E2BAA"/>
    <w:rsid w:val="643842DC"/>
    <w:rsid w:val="656655EA"/>
    <w:rsid w:val="66171B8A"/>
    <w:rsid w:val="67C5123D"/>
    <w:rsid w:val="6A8016CB"/>
    <w:rsid w:val="6B6B5727"/>
    <w:rsid w:val="6BB15296"/>
    <w:rsid w:val="6C0E300D"/>
    <w:rsid w:val="6C5E57D7"/>
    <w:rsid w:val="6D4E063C"/>
    <w:rsid w:val="6DE8785D"/>
    <w:rsid w:val="6E47227D"/>
    <w:rsid w:val="70FC6E6A"/>
    <w:rsid w:val="724F0D1A"/>
    <w:rsid w:val="732026E1"/>
    <w:rsid w:val="744444C4"/>
    <w:rsid w:val="76C577FD"/>
    <w:rsid w:val="774F0B18"/>
    <w:rsid w:val="7A00297D"/>
    <w:rsid w:val="7ABE18A7"/>
    <w:rsid w:val="7AD97666"/>
    <w:rsid w:val="7BC2255D"/>
    <w:rsid w:val="7F740BE1"/>
    <w:rsid w:val="7FEF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7" w:lineRule="exact"/>
      <w:ind w:firstLine="880" w:firstLineChars="200"/>
      <w:jc w:val="both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ind w:firstLine="0" w:firstLineChars="0"/>
      <w:jc w:val="center"/>
      <w:outlineLvl w:val="0"/>
    </w:pPr>
    <w:rPr>
      <w:rFonts w:hint="eastAsia" w:eastAsia="方正小标宋_GBK" w:cs="Times New Roman"/>
      <w:bCs/>
      <w:kern w:val="44"/>
      <w:sz w:val="44"/>
      <w:szCs w:val="48"/>
    </w:rPr>
  </w:style>
  <w:style w:type="paragraph" w:styleId="3">
    <w:name w:val="heading 2"/>
    <w:basedOn w:val="1"/>
    <w:next w:val="1"/>
    <w:link w:val="22"/>
    <w:unhideWhenUsed/>
    <w:qFormat/>
    <w:uiPriority w:val="0"/>
    <w:pPr>
      <w:keepNext/>
      <w:keepLines/>
      <w:ind w:firstLine="420"/>
      <w:outlineLvl w:val="1"/>
    </w:pPr>
    <w:rPr>
      <w:rFonts w:eastAsia="方正黑体_GBK" w:asciiTheme="minorHAnsi" w:hAnsiTheme="minorHAnsi" w:cstheme="majorBidi"/>
      <w:bCs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outlineLvl w:val="2"/>
    </w:pPr>
    <w:rPr>
      <w:rFonts w:eastAsia="方正楷体_GBK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outlineLvl w:val="3"/>
    </w:pPr>
    <w:rPr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customStyle="1" w:styleId="10">
    <w:name w:val="图片"/>
    <w:basedOn w:val="1"/>
    <w:qFormat/>
    <w:uiPriority w:val="0"/>
    <w:pPr>
      <w:spacing w:line="240" w:lineRule="auto"/>
      <w:ind w:firstLine="0" w:firstLineChars="0"/>
    </w:pPr>
  </w:style>
  <w:style w:type="paragraph" w:customStyle="1" w:styleId="11">
    <w:name w:val="表格"/>
    <w:basedOn w:val="1"/>
    <w:qFormat/>
    <w:uiPriority w:val="0"/>
    <w:pPr>
      <w:widowControl/>
      <w:spacing w:line="240" w:lineRule="exact"/>
      <w:ind w:firstLine="0" w:firstLineChars="0"/>
      <w:jc w:val="center"/>
      <w:textAlignment w:val="center"/>
    </w:pPr>
    <w:rPr>
      <w:rFonts w:eastAsia="方正楷体_GBK" w:cs="Times New Roman"/>
      <w:color w:val="000000"/>
      <w:kern w:val="0"/>
      <w:sz w:val="18"/>
      <w:szCs w:val="22"/>
    </w:rPr>
  </w:style>
  <w:style w:type="paragraph" w:customStyle="1" w:styleId="12">
    <w:name w:val="图标标题"/>
    <w:basedOn w:val="1"/>
    <w:qFormat/>
    <w:uiPriority w:val="0"/>
    <w:pPr>
      <w:ind w:firstLine="0" w:firstLineChars="0"/>
      <w:jc w:val="center"/>
    </w:pPr>
    <w:rPr>
      <w:rFonts w:hint="eastAsia" w:eastAsia="方正楷体_GBK"/>
      <w:b/>
      <w:sz w:val="28"/>
    </w:rPr>
  </w:style>
  <w:style w:type="paragraph" w:customStyle="1" w:styleId="13">
    <w:name w:val="参考资料"/>
    <w:basedOn w:val="1"/>
    <w:qFormat/>
    <w:uiPriority w:val="0"/>
    <w:pPr>
      <w:spacing w:line="240" w:lineRule="auto"/>
    </w:pPr>
    <w:rPr>
      <w:sz w:val="21"/>
    </w:rPr>
  </w:style>
  <w:style w:type="paragraph" w:customStyle="1" w:styleId="14">
    <w:name w:val="图表标题"/>
    <w:basedOn w:val="1"/>
    <w:qFormat/>
    <w:uiPriority w:val="0"/>
    <w:pPr>
      <w:ind w:firstLine="0" w:firstLineChars="0"/>
      <w:jc w:val="center"/>
    </w:pPr>
    <w:rPr>
      <w:rFonts w:hint="eastAsia" w:eastAsia="方正楷体_GBK"/>
      <w:b/>
      <w:sz w:val="28"/>
    </w:rPr>
  </w:style>
  <w:style w:type="paragraph" w:customStyle="1" w:styleId="15">
    <w:name w:val="数据来源"/>
    <w:basedOn w:val="1"/>
    <w:qFormat/>
    <w:uiPriority w:val="0"/>
    <w:pPr>
      <w:spacing w:line="240" w:lineRule="auto"/>
      <w:ind w:firstLine="480"/>
      <w:jc w:val="left"/>
    </w:pPr>
    <w:rPr>
      <w:rFonts w:hint="eastAsia" w:cs="Times New Roman"/>
      <w:color w:val="000000"/>
      <w:sz w:val="21"/>
      <w:shd w:val="clear" w:color="auto" w:fill="FFFFFF"/>
    </w:rPr>
  </w:style>
  <w:style w:type="paragraph" w:customStyle="1" w:styleId="16">
    <w:name w:val="注释"/>
    <w:basedOn w:val="1"/>
    <w:qFormat/>
    <w:uiPriority w:val="0"/>
    <w:pPr>
      <w:spacing w:line="400" w:lineRule="exact"/>
    </w:pPr>
    <w:rPr>
      <w:rFonts w:hint="eastAsia" w:ascii="仿宋_GB2312" w:hAnsi="仿宋_GB2312" w:eastAsia="方正楷体_GBK" w:cs="仿宋_GB2312"/>
      <w:color w:val="000000"/>
      <w:kern w:val="0"/>
      <w:sz w:val="21"/>
    </w:rPr>
  </w:style>
  <w:style w:type="paragraph" w:customStyle="1" w:styleId="17">
    <w:name w:val="名字及时间"/>
    <w:basedOn w:val="1"/>
    <w:next w:val="1"/>
    <w:qFormat/>
    <w:uiPriority w:val="0"/>
    <w:pPr>
      <w:ind w:firstLine="0" w:firstLineChars="0"/>
      <w:jc w:val="center"/>
    </w:pPr>
    <w:rPr>
      <w:rFonts w:hint="eastAsia" w:eastAsia="方正楷体_GBK" w:cs="Times New Roman"/>
      <w:bCs/>
      <w:kern w:val="44"/>
      <w:szCs w:val="48"/>
    </w:rPr>
  </w:style>
  <w:style w:type="character" w:customStyle="1" w:styleId="18">
    <w:name w:val="font31"/>
    <w:basedOn w:val="9"/>
    <w:qFormat/>
    <w:uiPriority w:val="0"/>
    <w:rPr>
      <w:rFonts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9">
    <w:name w:val="font5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0">
    <w:name w:val="font6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1">
    <w:name w:val="font21"/>
    <w:basedOn w:val="9"/>
    <w:qFormat/>
    <w:uiPriority w:val="0"/>
    <w:rPr>
      <w:rFonts w:hint="eastAsia" w:ascii="方正楷体_GBK" w:hAnsi="方正楷体_GBK" w:eastAsia="方正楷体_GBK" w:cs="方正楷体_GBK"/>
      <w:color w:val="000000"/>
      <w:sz w:val="18"/>
      <w:szCs w:val="18"/>
      <w:u w:val="none"/>
    </w:rPr>
  </w:style>
  <w:style w:type="character" w:customStyle="1" w:styleId="22">
    <w:name w:val="标题 2 Char"/>
    <w:link w:val="3"/>
    <w:qFormat/>
    <w:uiPriority w:val="0"/>
    <w:rPr>
      <w:rFonts w:eastAsia="方正黑体_GBK" w:asciiTheme="minorHAnsi" w:hAnsiTheme="minorHAnsi" w:cstheme="majorBidi"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1769</Words>
  <Characters>1802</Characters>
  <Lines>14</Lines>
  <Paragraphs>3</Paragraphs>
  <TotalTime>0</TotalTime>
  <ScaleCrop>false</ScaleCrop>
  <LinksUpToDate>false</LinksUpToDate>
  <CharactersWithSpaces>2132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2026-06-01T09:44:00Z</dcterms:created>
  <dc:creator>牛晓睿</dc:creator>
  <cp:lastModifiedBy>胡腾飞</cp:lastModifiedBy>
  <cp:lastPrinted>2026-06-15T03:01:00Z</cp:lastPrinted>
  <dcterms:modified xsi:type="dcterms:W3CDTF">2026-07-17T08:34:39Z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576C93A0105B4C4BB0A0058BC2589570_13</vt:lpwstr>
  </property>
  <property fmtid="{D5CDD505-2E9C-101B-9397-08002B2CF9AE}" pid="4" name="KSOTemplateDocerSaveRecord">
    <vt:lpwstr>eyJoZGlkIjoiODViY2JkMjU3NGYzZTEwMzZmMGFkZWViYmNkYWU3NDIiLCJ1c2VySWQiOiIzNDI0NzI1MzQifQ==</vt:lpwstr>
  </property>
</Properties>
</file>